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07" w:rsidRPr="0024684D" w:rsidRDefault="00BD7207" w:rsidP="0024684D">
      <w:pPr>
        <w:spacing w:before="240"/>
        <w:jc w:val="center"/>
        <w:rPr>
          <w:smallCaps/>
        </w:rPr>
      </w:pPr>
      <w:r w:rsidRPr="0024684D">
        <w:rPr>
          <w:b/>
          <w:bCs/>
          <w:smallCaps/>
          <w:sz w:val="32"/>
          <w:szCs w:val="32"/>
        </w:rPr>
        <w:t>Technick</w:t>
      </w:r>
      <w:r w:rsidR="004604FF">
        <w:rPr>
          <w:b/>
          <w:bCs/>
          <w:smallCaps/>
          <w:sz w:val="32"/>
          <w:szCs w:val="32"/>
        </w:rPr>
        <w:t>á specifikace</w:t>
      </w:r>
    </w:p>
    <w:p w:rsidR="00BD7207" w:rsidRPr="0024684D" w:rsidRDefault="00BD7207" w:rsidP="00BD7207">
      <w:pPr>
        <w:jc w:val="center"/>
        <w:rPr>
          <w:b/>
          <w:bCs/>
          <w:sz w:val="28"/>
          <w:szCs w:val="28"/>
        </w:rPr>
      </w:pPr>
    </w:p>
    <w:p w:rsidR="00BD7207" w:rsidRPr="0024684D" w:rsidRDefault="004604FF" w:rsidP="00BD72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BD7207" w:rsidRPr="0024684D">
        <w:rPr>
          <w:b/>
          <w:bCs/>
          <w:sz w:val="28"/>
          <w:szCs w:val="28"/>
        </w:rPr>
        <w:t xml:space="preserve"> veřejn</w:t>
      </w:r>
      <w:r>
        <w:rPr>
          <w:b/>
          <w:bCs/>
          <w:sz w:val="28"/>
          <w:szCs w:val="28"/>
        </w:rPr>
        <w:t>é</w:t>
      </w:r>
      <w:r w:rsidR="00752611" w:rsidRPr="0024684D">
        <w:rPr>
          <w:b/>
          <w:bCs/>
          <w:sz w:val="28"/>
          <w:szCs w:val="28"/>
        </w:rPr>
        <w:t xml:space="preserve"> </w:t>
      </w:r>
      <w:r w:rsidR="00BD7207" w:rsidRPr="0024684D">
        <w:rPr>
          <w:b/>
          <w:bCs/>
          <w:sz w:val="28"/>
          <w:szCs w:val="28"/>
        </w:rPr>
        <w:t>zakáz</w:t>
      </w:r>
      <w:r>
        <w:rPr>
          <w:b/>
          <w:bCs/>
          <w:sz w:val="28"/>
          <w:szCs w:val="28"/>
        </w:rPr>
        <w:t>ce</w:t>
      </w:r>
      <w:r w:rsidR="00BD7207" w:rsidRPr="0024684D">
        <w:rPr>
          <w:b/>
          <w:bCs/>
          <w:sz w:val="28"/>
          <w:szCs w:val="28"/>
        </w:rPr>
        <w:t xml:space="preserve"> s názvem:</w:t>
      </w:r>
    </w:p>
    <w:p w:rsidR="00BD7207" w:rsidRPr="0024684D" w:rsidRDefault="00BD7207" w:rsidP="00BD7207">
      <w:pPr>
        <w:rPr>
          <w:b/>
          <w:bCs/>
          <w:sz w:val="28"/>
          <w:szCs w:val="28"/>
        </w:rPr>
      </w:pPr>
    </w:p>
    <w:p w:rsidR="000309FF" w:rsidRPr="0024684D" w:rsidRDefault="00687403" w:rsidP="00687403">
      <w:pPr>
        <w:jc w:val="center"/>
        <w:rPr>
          <w:b/>
          <w:sz w:val="36"/>
          <w:szCs w:val="34"/>
        </w:rPr>
      </w:pPr>
      <w:r w:rsidRPr="0024684D">
        <w:rPr>
          <w:b/>
          <w:sz w:val="36"/>
          <w:szCs w:val="34"/>
        </w:rPr>
        <w:t>„</w:t>
      </w:r>
      <w:r w:rsidR="0024684D" w:rsidRPr="0024684D">
        <w:rPr>
          <w:b/>
          <w:bCs/>
          <w:sz w:val="36"/>
          <w:szCs w:val="34"/>
        </w:rPr>
        <w:t>Dodávka stroje (rolby) na úpravu ledové plochy</w:t>
      </w:r>
      <w:bookmarkStart w:id="0" w:name="_GoBack"/>
      <w:bookmarkEnd w:id="0"/>
      <w:r w:rsidRPr="0024684D">
        <w:rPr>
          <w:b/>
          <w:sz w:val="36"/>
          <w:szCs w:val="34"/>
        </w:rPr>
        <w:t>“</w:t>
      </w:r>
    </w:p>
    <w:p w:rsidR="00687403" w:rsidRPr="0024684D" w:rsidRDefault="00687403" w:rsidP="00BD7207">
      <w:pPr>
        <w:rPr>
          <w:b/>
          <w:bCs/>
          <w:snapToGrid w:val="0"/>
        </w:rPr>
      </w:pPr>
    </w:p>
    <w:p w:rsidR="00687403" w:rsidRDefault="00087CE7" w:rsidP="00687403">
      <w:pPr>
        <w:autoSpaceDE w:val="0"/>
        <w:autoSpaceDN w:val="0"/>
        <w:adjustRightInd w:val="0"/>
        <w:jc w:val="both"/>
      </w:pPr>
      <w:r>
        <w:t>účastník</w:t>
      </w:r>
      <w:r w:rsidR="00687403" w:rsidRPr="0024684D">
        <w:t xml:space="preserve"> v </w:t>
      </w:r>
      <w:r w:rsidR="00AF1086">
        <w:t>tabulce</w:t>
      </w:r>
      <w:r w:rsidR="00687403" w:rsidRPr="0024684D">
        <w:t xml:space="preserve"> níže uvede, zda jím nabízené zboží splňuje požadavky uvedené ve sloupci „Požadavek“ tak, že ve sloupci „Splňuje“, </w:t>
      </w:r>
      <w:r>
        <w:t>doplní ANO nebo NE</w:t>
      </w:r>
      <w:r w:rsidR="00687403" w:rsidRPr="0024684D">
        <w:t>. Do sloupce „Uchazeč nabízí“ pak prostřednictvím vyplňovacích formulářů word uvede konkrétní hodnotu parametru (ve stejných jednotkách, v jakých je stanoven požadavek) nebo bližší specifikaci jím nabízeného zboží ve vztahu k požadavku.</w:t>
      </w:r>
    </w:p>
    <w:p w:rsidR="004F7E70" w:rsidRPr="0024684D" w:rsidRDefault="004F7E70" w:rsidP="00687403">
      <w:pPr>
        <w:autoSpaceDE w:val="0"/>
        <w:autoSpaceDN w:val="0"/>
        <w:adjustRightInd w:val="0"/>
        <w:jc w:val="both"/>
      </w:pPr>
      <w:r>
        <w:t xml:space="preserve">Dále dodavatel povinně vyplní </w:t>
      </w:r>
      <w:r w:rsidR="00161EC4">
        <w:t xml:space="preserve">obchodní </w:t>
      </w:r>
      <w:r>
        <w:t>název, typ a výrobce dodávané rolby.</w:t>
      </w:r>
    </w:p>
    <w:p w:rsidR="00BD7207" w:rsidRDefault="00BD7207" w:rsidP="00BD7207">
      <w:pPr>
        <w:autoSpaceDE w:val="0"/>
        <w:autoSpaceDN w:val="0"/>
        <w:adjustRightInd w:val="0"/>
        <w:jc w:val="both"/>
        <w:rPr>
          <w:rFonts w:ascii="Cambria" w:hAnsi="Cambria" w:cs="Verdana"/>
        </w:rPr>
      </w:pPr>
    </w:p>
    <w:p w:rsidR="00687403" w:rsidRDefault="00687403" w:rsidP="00687403">
      <w:pPr>
        <w:autoSpaceDE w:val="0"/>
        <w:autoSpaceDN w:val="0"/>
        <w:adjustRightInd w:val="0"/>
        <w:jc w:val="both"/>
        <w:rPr>
          <w:rFonts w:ascii="Cambria" w:hAnsi="Cambria" w:cs="Verdana"/>
        </w:rPr>
      </w:pP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61EC4" w:rsidTr="006D3B7B">
        <w:trPr>
          <w:trHeight w:val="633"/>
        </w:trPr>
        <w:tc>
          <w:tcPr>
            <w:tcW w:w="3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C4" w:rsidRDefault="00161EC4" w:rsidP="00765547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20"/>
              </w:rPr>
            </w:pPr>
            <w:r>
              <w:rPr>
                <w:rFonts w:ascii="Cambria" w:hAnsi="Cambria" w:cs="Verdana"/>
                <w:b/>
                <w:sz w:val="20"/>
              </w:rPr>
              <w:t>Obchodní název a typ nabízené rolby: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C4" w:rsidRDefault="00B06BAD" w:rsidP="008D0E5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sz w:val="20"/>
              </w:rPr>
            </w:pPr>
            <w:r>
              <w:rPr>
                <w:rFonts w:ascii="Cambria" w:hAnsi="Cambria" w:cs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1EC4">
              <w:rPr>
                <w:rFonts w:ascii="Cambria" w:hAnsi="Cambria" w:cs="Verdana"/>
                <w:sz w:val="20"/>
              </w:rPr>
              <w:instrText xml:space="preserve"> FORMTEXT </w:instrText>
            </w:r>
            <w:r>
              <w:rPr>
                <w:rFonts w:ascii="Cambria" w:hAnsi="Cambria" w:cs="Verdana"/>
                <w:sz w:val="20"/>
              </w:rPr>
            </w:r>
            <w:r>
              <w:rPr>
                <w:rFonts w:ascii="Cambria" w:hAnsi="Cambria" w:cs="Verdana"/>
                <w:sz w:val="20"/>
              </w:rPr>
              <w:fldChar w:fldCharType="separate"/>
            </w:r>
            <w:r w:rsidR="00161EC4">
              <w:rPr>
                <w:rFonts w:ascii="Cambria" w:hAnsi="Cambria" w:cs="Verdana"/>
                <w:noProof/>
                <w:sz w:val="20"/>
              </w:rPr>
              <w:t> </w:t>
            </w:r>
            <w:r w:rsidR="00161EC4">
              <w:rPr>
                <w:rFonts w:ascii="Cambria" w:hAnsi="Cambria" w:cs="Verdana"/>
                <w:noProof/>
                <w:sz w:val="20"/>
              </w:rPr>
              <w:t> </w:t>
            </w:r>
            <w:r w:rsidR="00161EC4">
              <w:rPr>
                <w:rFonts w:ascii="Cambria" w:hAnsi="Cambria" w:cs="Verdana"/>
                <w:noProof/>
                <w:sz w:val="20"/>
              </w:rPr>
              <w:t> </w:t>
            </w:r>
            <w:r w:rsidR="00161EC4">
              <w:rPr>
                <w:rFonts w:ascii="Cambria" w:hAnsi="Cambria" w:cs="Verdana"/>
                <w:noProof/>
                <w:sz w:val="20"/>
              </w:rPr>
              <w:t> </w:t>
            </w:r>
            <w:r w:rsidR="00161EC4">
              <w:rPr>
                <w:rFonts w:ascii="Cambria" w:hAnsi="Cambria" w:cs="Verdana"/>
                <w:noProof/>
                <w:sz w:val="20"/>
              </w:rPr>
              <w:t xml:space="preserve">                                                    </w:t>
            </w:r>
            <w:r w:rsidR="00161EC4">
              <w:rPr>
                <w:rFonts w:ascii="Cambria" w:hAnsi="Cambria" w:cs="Verdana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87403" w:rsidTr="006D3B7B">
        <w:trPr>
          <w:trHeight w:val="633"/>
        </w:trPr>
        <w:tc>
          <w:tcPr>
            <w:tcW w:w="3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3" w:rsidRDefault="00161EC4" w:rsidP="00765547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20"/>
              </w:rPr>
            </w:pPr>
            <w:r>
              <w:rPr>
                <w:rFonts w:ascii="Cambria" w:hAnsi="Cambria" w:cs="Verdana"/>
                <w:b/>
                <w:sz w:val="20"/>
              </w:rPr>
              <w:t xml:space="preserve">Výrobce </w:t>
            </w:r>
            <w:r w:rsidR="00687403">
              <w:rPr>
                <w:rFonts w:ascii="Cambria" w:hAnsi="Cambria" w:cs="Verdana"/>
                <w:b/>
                <w:sz w:val="20"/>
              </w:rPr>
              <w:t xml:space="preserve">nabízené </w:t>
            </w:r>
            <w:r>
              <w:rPr>
                <w:rFonts w:ascii="Cambria" w:hAnsi="Cambria" w:cs="Verdana"/>
                <w:b/>
                <w:sz w:val="20"/>
              </w:rPr>
              <w:t>rolby</w:t>
            </w:r>
            <w:r w:rsidR="00687403">
              <w:rPr>
                <w:rFonts w:ascii="Cambria" w:hAnsi="Cambria" w:cs="Verdana"/>
                <w:b/>
                <w:sz w:val="20"/>
              </w:rPr>
              <w:t>: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3" w:rsidRDefault="00B06BAD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sz w:val="20"/>
              </w:rPr>
            </w:pPr>
            <w:r>
              <w:rPr>
                <w:rFonts w:ascii="Cambria" w:hAnsi="Cambria" w:cs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87403">
              <w:rPr>
                <w:rFonts w:ascii="Cambria" w:hAnsi="Cambria" w:cs="Verdana"/>
                <w:sz w:val="20"/>
              </w:rPr>
              <w:instrText xml:space="preserve"> FORMTEXT </w:instrText>
            </w:r>
            <w:r>
              <w:rPr>
                <w:rFonts w:ascii="Cambria" w:hAnsi="Cambria" w:cs="Verdana"/>
                <w:sz w:val="20"/>
              </w:rPr>
            </w:r>
            <w:r>
              <w:rPr>
                <w:rFonts w:ascii="Cambria" w:hAnsi="Cambria" w:cs="Verdana"/>
                <w:sz w:val="20"/>
              </w:rPr>
              <w:fldChar w:fldCharType="separate"/>
            </w:r>
            <w:r w:rsidR="00687403">
              <w:rPr>
                <w:rFonts w:ascii="Cambria" w:hAnsi="Cambria" w:cs="Verdana"/>
                <w:noProof/>
                <w:sz w:val="20"/>
              </w:rPr>
              <w:t> </w:t>
            </w:r>
            <w:r w:rsidR="00687403">
              <w:rPr>
                <w:rFonts w:ascii="Cambria" w:hAnsi="Cambria" w:cs="Verdana"/>
                <w:noProof/>
                <w:sz w:val="20"/>
              </w:rPr>
              <w:t> </w:t>
            </w:r>
            <w:r w:rsidR="00687403">
              <w:rPr>
                <w:rFonts w:ascii="Cambria" w:hAnsi="Cambria" w:cs="Verdana"/>
                <w:noProof/>
                <w:sz w:val="20"/>
              </w:rPr>
              <w:t> </w:t>
            </w:r>
            <w:r w:rsidR="00687403">
              <w:rPr>
                <w:rFonts w:ascii="Cambria" w:hAnsi="Cambria" w:cs="Verdana"/>
                <w:noProof/>
                <w:sz w:val="20"/>
              </w:rPr>
              <w:t> </w:t>
            </w:r>
            <w:r w:rsidR="00752611">
              <w:rPr>
                <w:rFonts w:ascii="Cambria" w:hAnsi="Cambria" w:cs="Verdana"/>
                <w:noProof/>
                <w:sz w:val="20"/>
              </w:rPr>
              <w:t xml:space="preserve">                                                    </w:t>
            </w:r>
            <w:r w:rsidR="00687403">
              <w:rPr>
                <w:rFonts w:ascii="Cambria" w:hAnsi="Cambria" w:cs="Verdana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</w:tbl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3936"/>
        <w:gridCol w:w="1984"/>
        <w:gridCol w:w="3400"/>
      </w:tblGrid>
      <w:tr w:rsidR="00687403" w:rsidTr="006D3B7B">
        <w:trPr>
          <w:trHeight w:val="685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687403" w:rsidRPr="001E1A1A" w:rsidRDefault="00687403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sz w:val="22"/>
              </w:rPr>
            </w:pPr>
            <w:r w:rsidRPr="001E1A1A">
              <w:rPr>
                <w:rFonts w:ascii="Cambria" w:hAnsi="Cambria" w:cs="Verdana"/>
                <w:b/>
                <w:sz w:val="22"/>
              </w:rPr>
              <w:t>Požadavek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87403" w:rsidRPr="001E1A1A" w:rsidRDefault="00687403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sz w:val="22"/>
              </w:rPr>
            </w:pPr>
            <w:r w:rsidRPr="001E1A1A">
              <w:rPr>
                <w:rFonts w:ascii="Cambria" w:hAnsi="Cambria" w:cs="Verdana"/>
                <w:b/>
                <w:sz w:val="22"/>
              </w:rPr>
              <w:t xml:space="preserve">Splňuje </w:t>
            </w:r>
            <w:r w:rsidR="00087CE7">
              <w:rPr>
                <w:rFonts w:ascii="Cambria" w:hAnsi="Cambria" w:cs="Verdana"/>
                <w:b/>
                <w:sz w:val="22"/>
              </w:rPr>
              <w:t>ANO/NE</w:t>
            </w:r>
          </w:p>
        </w:tc>
        <w:tc>
          <w:tcPr>
            <w:tcW w:w="3400" w:type="dxa"/>
            <w:tcBorders>
              <w:top w:val="double" w:sz="4" w:space="0" w:color="auto"/>
            </w:tcBorders>
            <w:vAlign w:val="center"/>
          </w:tcPr>
          <w:p w:rsidR="00687403" w:rsidRPr="001E1A1A" w:rsidRDefault="00087CE7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sz w:val="22"/>
              </w:rPr>
            </w:pPr>
            <w:r>
              <w:rPr>
                <w:rFonts w:ascii="Cambria" w:hAnsi="Cambria" w:cs="Verdana"/>
                <w:b/>
                <w:sz w:val="22"/>
              </w:rPr>
              <w:t>Účastník</w:t>
            </w:r>
            <w:r w:rsidR="00687403" w:rsidRPr="001E1A1A">
              <w:rPr>
                <w:rFonts w:ascii="Cambria" w:hAnsi="Cambria" w:cs="Verdana"/>
                <w:b/>
                <w:sz w:val="22"/>
              </w:rPr>
              <w:t xml:space="preserve"> nabízí</w:t>
            </w:r>
          </w:p>
        </w:tc>
      </w:tr>
      <w:tr w:rsidR="00D84868" w:rsidTr="006D3B7B">
        <w:trPr>
          <w:trHeight w:val="548"/>
        </w:trPr>
        <w:tc>
          <w:tcPr>
            <w:tcW w:w="3936" w:type="dxa"/>
            <w:vAlign w:val="center"/>
          </w:tcPr>
          <w:p w:rsidR="00D84868" w:rsidRPr="003A7856" w:rsidRDefault="00D84868" w:rsidP="00765547">
            <w:pPr>
              <w:suppressAutoHyphens/>
            </w:pPr>
            <w:r w:rsidRPr="003A7856">
              <w:t xml:space="preserve">Stav </w:t>
            </w:r>
            <w:proofErr w:type="gramStart"/>
            <w:r w:rsidRPr="003A7856">
              <w:t>rolby - nová</w:t>
            </w:r>
            <w:proofErr w:type="gramEnd"/>
          </w:p>
        </w:tc>
        <w:tc>
          <w:tcPr>
            <w:tcW w:w="1984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D84868" w:rsidTr="006D3B7B">
        <w:trPr>
          <w:trHeight w:val="548"/>
        </w:trPr>
        <w:tc>
          <w:tcPr>
            <w:tcW w:w="3936" w:type="dxa"/>
            <w:vAlign w:val="center"/>
          </w:tcPr>
          <w:p w:rsidR="00D84868" w:rsidRPr="003A7856" w:rsidRDefault="009F4258" w:rsidP="00D84868">
            <w:pPr>
              <w:rPr>
                <w:color w:val="000000"/>
              </w:rPr>
            </w:pPr>
            <w:r w:rsidRPr="003A7856">
              <w:t>elektrický bateriový, AC pohon</w:t>
            </w:r>
          </w:p>
        </w:tc>
        <w:tc>
          <w:tcPr>
            <w:tcW w:w="1984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D84868" w:rsidTr="006D3B7B">
        <w:trPr>
          <w:trHeight w:val="548"/>
        </w:trPr>
        <w:tc>
          <w:tcPr>
            <w:tcW w:w="3936" w:type="dxa"/>
            <w:vAlign w:val="center"/>
          </w:tcPr>
          <w:p w:rsidR="00D8486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Denní počet úprav: 25–30 na jedno nabití</w:t>
            </w:r>
          </w:p>
        </w:tc>
        <w:tc>
          <w:tcPr>
            <w:tcW w:w="1984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D84868" w:rsidRDefault="00D84868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9A4C0A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9F4258" w:rsidP="009F425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A7856">
              <w:rPr>
                <w:rFonts w:ascii="Times New Roman" w:hAnsi="Times New Roman" w:cs="Times New Roman"/>
              </w:rPr>
              <w:t>Celková hmotnost: do 5000 kg</w:t>
            </w:r>
          </w:p>
        </w:tc>
        <w:tc>
          <w:tcPr>
            <w:tcW w:w="1984" w:type="dxa"/>
            <w:vAlign w:val="center"/>
          </w:tcPr>
          <w:p w:rsidR="009A4C0A" w:rsidRDefault="009A4C0A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9A4C0A" w:rsidRDefault="009A4C0A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9A4C0A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9F4258" w:rsidP="009F425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A7856">
              <w:rPr>
                <w:rFonts w:ascii="Times New Roman" w:hAnsi="Times New Roman" w:cs="Times New Roman"/>
              </w:rPr>
              <w:t>Nádrž na vodu: min. 1000–1500 l</w:t>
            </w:r>
          </w:p>
        </w:tc>
        <w:tc>
          <w:tcPr>
            <w:tcW w:w="1984" w:type="dxa"/>
            <w:vAlign w:val="center"/>
          </w:tcPr>
          <w:p w:rsidR="009A4C0A" w:rsidRDefault="009A4C0A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9A4C0A" w:rsidRDefault="009A4C0A" w:rsidP="00D8486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9A4C0A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Zásobník na sníh: 3–4 m</w:t>
            </w:r>
            <w:r w:rsidRPr="003A78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9A4C0A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9F4258" w:rsidP="009F425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A7856">
              <w:rPr>
                <w:rFonts w:ascii="Times New Roman" w:hAnsi="Times New Roman" w:cs="Times New Roman"/>
              </w:rPr>
              <w:t>Poloměr otáčení: max.4800 mm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jc w:val="center"/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jc w:val="center"/>
            </w:pPr>
          </w:p>
        </w:tc>
      </w:tr>
      <w:tr w:rsidR="009F4258" w:rsidTr="00E50C99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Výška stroje: max. 2600 mm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E50C99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Výška při zvednuté korbě: max. 2600 mm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E50C99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Hoblovací nůž (šířka): max. 2100 mm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063BCA" w:rsidTr="006D3B7B">
        <w:trPr>
          <w:trHeight w:val="548"/>
        </w:trPr>
        <w:tc>
          <w:tcPr>
            <w:tcW w:w="3936" w:type="dxa"/>
            <w:vAlign w:val="center"/>
          </w:tcPr>
          <w:p w:rsidR="00063BCA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Jízdní pohon: plynule řiditelný elektrický pojezd s pohonem všech kol 4x4 – AC (asynchronní motory), min. 2 pojezdové motory</w:t>
            </w:r>
          </w:p>
        </w:tc>
        <w:tc>
          <w:tcPr>
            <w:tcW w:w="1984" w:type="dxa"/>
            <w:vAlign w:val="center"/>
          </w:tcPr>
          <w:p w:rsidR="00063BCA" w:rsidRDefault="00063BCA" w:rsidP="00063BCA">
            <w:pPr>
              <w:jc w:val="center"/>
            </w:pPr>
          </w:p>
        </w:tc>
        <w:tc>
          <w:tcPr>
            <w:tcW w:w="3400" w:type="dxa"/>
            <w:vAlign w:val="center"/>
          </w:tcPr>
          <w:p w:rsidR="00063BCA" w:rsidRDefault="00063BCA" w:rsidP="00063BCA">
            <w:pPr>
              <w:jc w:val="center"/>
            </w:pPr>
          </w:p>
        </w:tc>
      </w:tr>
      <w:tr w:rsidR="009F4258" w:rsidTr="007663A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zásobník na vodu a sníh z nerez oceli nebo PE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7663A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lastRenderedPageBreak/>
              <w:t>ukazatel průtoku a hladiny vody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7663A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zařízení pro automatické ukončení napouštění vody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7663A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volitelné množství průtoku vody od 10 % do 100 % dle rychlosti pojezdu, proporcionální    dávkování vody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</w:p>
        </w:tc>
      </w:tr>
      <w:tr w:rsidR="009F4258" w:rsidTr="007663A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automatický STOP ventil umožňující volitelné nastavení objemu napouštění nádrže na vodu v rozsahu 0-</w:t>
            </w:r>
            <w:proofErr w:type="gramStart"/>
            <w:r w:rsidRPr="003A7856">
              <w:rPr>
                <w:rFonts w:ascii="Times New Roman" w:hAnsi="Times New Roman" w:cs="Times New Roman"/>
              </w:rPr>
              <w:t>100%</w:t>
            </w:r>
            <w:proofErr w:type="gramEnd"/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ukazatel teploty vody v nádrži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ukazatel intervalu servisní prohlídky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digitální nastavení hoblovacího nože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odpružené výškově stavitelné sedadlo řidiče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posilovač řízení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pneumatiky opatřeny hroty na led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RPr="00196279" w:rsidTr="00AA281F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r w:rsidRPr="003A7856">
              <w:t>jednoduchý přístup k prostoru pohonných agregátů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RPr="00196279" w:rsidTr="0084537C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odpružený boční ořezávač ledu umístěný mezi nápravami výškově nastavitelný z místa řidiče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F4258" w:rsidRPr="00196279" w:rsidTr="0084537C">
        <w:trPr>
          <w:trHeight w:val="548"/>
        </w:trPr>
        <w:tc>
          <w:tcPr>
            <w:tcW w:w="3936" w:type="dxa"/>
          </w:tcPr>
          <w:p w:rsidR="009F4258" w:rsidRPr="003A7856" w:rsidRDefault="009F4258" w:rsidP="009F4258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odpružený zametač sněhu kolem mantinelů, umístěný mezi nápravami</w:t>
            </w:r>
          </w:p>
        </w:tc>
        <w:tc>
          <w:tcPr>
            <w:tcW w:w="1984" w:type="dxa"/>
            <w:vAlign w:val="center"/>
          </w:tcPr>
          <w:p w:rsidR="009F4258" w:rsidRDefault="009F4258" w:rsidP="009F4258">
            <w:pPr>
              <w:jc w:val="center"/>
            </w:pPr>
          </w:p>
        </w:tc>
        <w:tc>
          <w:tcPr>
            <w:tcW w:w="3400" w:type="dxa"/>
            <w:vAlign w:val="center"/>
          </w:tcPr>
          <w:p w:rsidR="009F4258" w:rsidRDefault="009F4258" w:rsidP="009F4258">
            <w:pPr>
              <w:jc w:val="center"/>
            </w:pPr>
          </w:p>
        </w:tc>
      </w:tr>
      <w:tr w:rsidR="009A4C0A" w:rsidRPr="00196279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087CE7" w:rsidP="0024684D">
            <w:pPr>
              <w:rPr>
                <w:color w:val="000000"/>
              </w:rPr>
            </w:pPr>
            <w:r w:rsidRPr="003A7856">
              <w:t>zametač a ořezávač může pracovat samostatně</w:t>
            </w:r>
            <w:r w:rsidRPr="003A785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jc w:val="center"/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jc w:val="center"/>
            </w:pPr>
          </w:p>
        </w:tc>
      </w:tr>
      <w:tr w:rsidR="009A4C0A" w:rsidRPr="00196279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1C2B5E" w:rsidP="001C2B5E">
            <w:pPr>
              <w:rPr>
                <w:color w:val="000000"/>
              </w:rPr>
            </w:pPr>
            <w:r w:rsidRPr="003A7856">
              <w:rPr>
                <w:color w:val="000000"/>
              </w:rPr>
              <w:t>Záruka min</w:t>
            </w:r>
            <w:r w:rsidR="004604FF" w:rsidRPr="003A7856">
              <w:rPr>
                <w:color w:val="000000"/>
              </w:rPr>
              <w:t>.</w:t>
            </w:r>
            <w:r w:rsidRPr="003A7856">
              <w:rPr>
                <w:color w:val="000000"/>
              </w:rPr>
              <w:t xml:space="preserve"> 36 měsíců</w:t>
            </w:r>
            <w:r w:rsidR="009F4258" w:rsidRPr="003A7856">
              <w:rPr>
                <w:color w:val="000000"/>
              </w:rPr>
              <w:t xml:space="preserve"> stroj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jc w:val="center"/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jc w:val="center"/>
            </w:pPr>
          </w:p>
        </w:tc>
      </w:tr>
      <w:tr w:rsidR="009F4258" w:rsidRPr="00196279" w:rsidTr="006D3B7B">
        <w:trPr>
          <w:trHeight w:val="548"/>
        </w:trPr>
        <w:tc>
          <w:tcPr>
            <w:tcW w:w="3936" w:type="dxa"/>
            <w:vAlign w:val="center"/>
          </w:tcPr>
          <w:p w:rsidR="009F4258" w:rsidRPr="003A7856" w:rsidRDefault="009F4258" w:rsidP="001C2B5E">
            <w:pPr>
              <w:rPr>
                <w:color w:val="000000"/>
              </w:rPr>
            </w:pPr>
            <w:r w:rsidRPr="003A7856">
              <w:rPr>
                <w:color w:val="000000"/>
              </w:rPr>
              <w:t>Záruka min. 24 měsíců baterie</w:t>
            </w:r>
          </w:p>
        </w:tc>
        <w:tc>
          <w:tcPr>
            <w:tcW w:w="1984" w:type="dxa"/>
            <w:vAlign w:val="center"/>
          </w:tcPr>
          <w:p w:rsidR="009F4258" w:rsidRPr="00693543" w:rsidRDefault="009F4258" w:rsidP="0024684D">
            <w:pPr>
              <w:jc w:val="center"/>
              <w:rPr>
                <w:rFonts w:ascii="Cambria" w:hAnsi="Cambria" w:cs="Verdana"/>
              </w:rPr>
            </w:pPr>
          </w:p>
        </w:tc>
        <w:tc>
          <w:tcPr>
            <w:tcW w:w="3400" w:type="dxa"/>
            <w:vAlign w:val="center"/>
          </w:tcPr>
          <w:p w:rsidR="009F4258" w:rsidRPr="00196279" w:rsidRDefault="009F4258" w:rsidP="0024684D">
            <w:pPr>
              <w:jc w:val="center"/>
              <w:rPr>
                <w:rFonts w:ascii="Cambria" w:hAnsi="Cambria" w:cs="Verdana"/>
              </w:rPr>
            </w:pPr>
          </w:p>
        </w:tc>
      </w:tr>
      <w:tr w:rsidR="009A4C0A" w:rsidRPr="00196279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1C2B5E" w:rsidP="0024684D">
            <w:pPr>
              <w:rPr>
                <w:color w:val="000000"/>
              </w:rPr>
            </w:pPr>
            <w:r w:rsidRPr="003A7856">
              <w:rPr>
                <w:color w:val="000000"/>
              </w:rPr>
              <w:t>Zajištění servisu do 24 hodin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jc w:val="center"/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jc w:val="center"/>
            </w:pPr>
          </w:p>
        </w:tc>
      </w:tr>
      <w:tr w:rsidR="009A4C0A" w:rsidRPr="00196279" w:rsidTr="006D3B7B">
        <w:trPr>
          <w:trHeight w:val="548"/>
        </w:trPr>
        <w:tc>
          <w:tcPr>
            <w:tcW w:w="3936" w:type="dxa"/>
            <w:vAlign w:val="center"/>
          </w:tcPr>
          <w:p w:rsidR="009A4C0A" w:rsidRPr="003A7856" w:rsidRDefault="00190376" w:rsidP="0024684D">
            <w:pPr>
              <w:rPr>
                <w:color w:val="000000"/>
              </w:rPr>
            </w:pPr>
            <w:r w:rsidRPr="003A7856">
              <w:rPr>
                <w:color w:val="000000"/>
              </w:rPr>
              <w:t>Doba dodání max. 90 dnů od podpisu kupní smlouvy</w:t>
            </w:r>
          </w:p>
        </w:tc>
        <w:tc>
          <w:tcPr>
            <w:tcW w:w="1984" w:type="dxa"/>
            <w:vAlign w:val="center"/>
          </w:tcPr>
          <w:p w:rsidR="009A4C0A" w:rsidRDefault="009A4C0A" w:rsidP="0024684D">
            <w:pPr>
              <w:jc w:val="center"/>
            </w:pPr>
          </w:p>
        </w:tc>
        <w:tc>
          <w:tcPr>
            <w:tcW w:w="3400" w:type="dxa"/>
            <w:vAlign w:val="center"/>
          </w:tcPr>
          <w:p w:rsidR="009A4C0A" w:rsidRDefault="009A4C0A" w:rsidP="0024684D">
            <w:pPr>
              <w:jc w:val="center"/>
            </w:pPr>
          </w:p>
        </w:tc>
      </w:tr>
      <w:tr w:rsidR="00F415B8" w:rsidRPr="00196279" w:rsidTr="006D3B7B">
        <w:trPr>
          <w:trHeight w:val="548"/>
        </w:trPr>
        <w:tc>
          <w:tcPr>
            <w:tcW w:w="3936" w:type="dxa"/>
            <w:vAlign w:val="center"/>
          </w:tcPr>
          <w:p w:rsidR="00F415B8" w:rsidRPr="003A7856" w:rsidRDefault="00087CE7" w:rsidP="00087CE7">
            <w:pPr>
              <w:rPr>
                <w:color w:val="000000"/>
              </w:rPr>
            </w:pPr>
            <w:r w:rsidRPr="003A7856">
              <w:t>trakční akumulátor kapacita min.750Ah, centrální dolití, vysokofrekvenční nabíječka s nabíjecím protokolem umožňující nabití za 6-8 hod</w:t>
            </w:r>
          </w:p>
        </w:tc>
        <w:tc>
          <w:tcPr>
            <w:tcW w:w="1984" w:type="dxa"/>
            <w:vAlign w:val="center"/>
          </w:tcPr>
          <w:p w:rsidR="00F415B8" w:rsidRDefault="00F415B8" w:rsidP="00E008E1">
            <w:pPr>
              <w:jc w:val="center"/>
            </w:pPr>
          </w:p>
        </w:tc>
        <w:tc>
          <w:tcPr>
            <w:tcW w:w="3400" w:type="dxa"/>
            <w:vAlign w:val="center"/>
          </w:tcPr>
          <w:p w:rsidR="00F415B8" w:rsidRDefault="00F415B8" w:rsidP="00E008E1">
            <w:pPr>
              <w:jc w:val="center"/>
            </w:pPr>
          </w:p>
        </w:tc>
      </w:tr>
      <w:tr w:rsidR="00087CE7" w:rsidRPr="00196279" w:rsidTr="000B2876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systém rychlé a bezpečné výměny nože z boku hoblovacího zařízení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Default="00087CE7" w:rsidP="00087CE7">
            <w:pPr>
              <w:jc w:val="center"/>
            </w:pPr>
          </w:p>
        </w:tc>
      </w:tr>
      <w:tr w:rsidR="00087CE7" w:rsidRPr="00196279" w:rsidTr="000B2876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přední levé a pravé zpětné zrcátko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0B2876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r w:rsidRPr="003A7856">
              <w:t xml:space="preserve">samostatné zvedání nanášecí 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AF1B02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r w:rsidRPr="003A7856">
              <w:lastRenderedPageBreak/>
              <w:t>mytí ledu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AF1B02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r w:rsidRPr="003A7856">
              <w:t>oplachy kol, nádrže na sníh a horizontálního/vertikálního šneků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AF1B02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2 ks hoblovacích nožů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AF1B02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2 ks stíracích utěrek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  <w:tr w:rsidR="00087CE7" w:rsidRPr="00196279" w:rsidTr="00AF1B02">
        <w:trPr>
          <w:trHeight w:val="548"/>
        </w:trPr>
        <w:tc>
          <w:tcPr>
            <w:tcW w:w="3936" w:type="dxa"/>
          </w:tcPr>
          <w:p w:rsidR="00087CE7" w:rsidRPr="003A7856" w:rsidRDefault="00087CE7" w:rsidP="00087CE7">
            <w:pPr>
              <w:pStyle w:val="Default"/>
              <w:rPr>
                <w:rFonts w:ascii="Times New Roman" w:hAnsi="Times New Roman" w:cs="Times New Roman"/>
              </w:rPr>
            </w:pPr>
            <w:r w:rsidRPr="003A7856">
              <w:rPr>
                <w:rFonts w:ascii="Times New Roman" w:hAnsi="Times New Roman" w:cs="Times New Roman"/>
              </w:rPr>
              <w:t>rezervní kolo s nastřílenými hroty</w:t>
            </w:r>
          </w:p>
        </w:tc>
        <w:tc>
          <w:tcPr>
            <w:tcW w:w="1984" w:type="dxa"/>
            <w:vAlign w:val="center"/>
          </w:tcPr>
          <w:p w:rsidR="00087CE7" w:rsidRDefault="00087CE7" w:rsidP="00087CE7">
            <w:pPr>
              <w:jc w:val="center"/>
            </w:pPr>
          </w:p>
        </w:tc>
        <w:tc>
          <w:tcPr>
            <w:tcW w:w="3400" w:type="dxa"/>
            <w:vAlign w:val="center"/>
          </w:tcPr>
          <w:p w:rsidR="00087CE7" w:rsidRPr="00196279" w:rsidRDefault="00087CE7" w:rsidP="00087CE7">
            <w:pPr>
              <w:jc w:val="center"/>
              <w:rPr>
                <w:rFonts w:ascii="Cambria" w:hAnsi="Cambria" w:cs="Verdana"/>
              </w:rPr>
            </w:pPr>
          </w:p>
        </w:tc>
      </w:tr>
    </w:tbl>
    <w:p w:rsidR="00D41CCC" w:rsidRDefault="00D41CCC" w:rsidP="00190376">
      <w:pPr>
        <w:spacing w:after="60"/>
        <w:jc w:val="both"/>
        <w:rPr>
          <w:b/>
          <w:bCs/>
        </w:rPr>
      </w:pPr>
    </w:p>
    <w:p w:rsidR="00CD7BAE" w:rsidRDefault="00CD7BAE" w:rsidP="00190376">
      <w:pPr>
        <w:spacing w:after="60"/>
        <w:jc w:val="both"/>
        <w:rPr>
          <w:b/>
          <w:bCs/>
        </w:rPr>
      </w:pPr>
      <w:r w:rsidRPr="00190376">
        <w:rPr>
          <w:b/>
          <w:bCs/>
        </w:rPr>
        <w:t>Součástí nabídky je i splnění těchto ostatních požadavků zadavatel</w:t>
      </w:r>
      <w:r w:rsidR="00A60181">
        <w:rPr>
          <w:b/>
          <w:bCs/>
        </w:rPr>
        <w:t>e</w:t>
      </w:r>
      <w:r w:rsidRPr="00190376">
        <w:rPr>
          <w:b/>
          <w:bCs/>
        </w:rPr>
        <w:t xml:space="preserve">, </w:t>
      </w:r>
      <w:r w:rsidR="0065799F">
        <w:rPr>
          <w:b/>
          <w:bCs/>
        </w:rPr>
        <w:t xml:space="preserve">dalších povinných součástí dodávky, </w:t>
      </w:r>
      <w:r w:rsidRPr="00190376">
        <w:rPr>
          <w:b/>
          <w:bCs/>
        </w:rPr>
        <w:t xml:space="preserve">jejichž plnění </w:t>
      </w:r>
      <w:r w:rsidR="004604FF">
        <w:rPr>
          <w:b/>
          <w:bCs/>
        </w:rPr>
        <w:t>musí být</w:t>
      </w:r>
      <w:r w:rsidRPr="00190376">
        <w:rPr>
          <w:b/>
          <w:bCs/>
        </w:rPr>
        <w:t xml:space="preserve"> již zahrnuto v nabídkové ceně:</w:t>
      </w:r>
    </w:p>
    <w:p w:rsidR="00CD7BAE" w:rsidRPr="00837F3F" w:rsidRDefault="00CD7BAE" w:rsidP="00190376">
      <w:pPr>
        <w:spacing w:after="60"/>
        <w:ind w:left="284"/>
      </w:pPr>
      <w:r w:rsidRPr="00837F3F">
        <w:t>- doprav</w:t>
      </w:r>
      <w:r w:rsidR="004604FF">
        <w:t>a</w:t>
      </w:r>
      <w:r w:rsidRPr="00837F3F">
        <w:t xml:space="preserve"> do místa plnění </w:t>
      </w:r>
    </w:p>
    <w:p w:rsidR="00CD7BAE" w:rsidRDefault="00CD7BAE" w:rsidP="00190376">
      <w:pPr>
        <w:pStyle w:val="Default"/>
        <w:spacing w:after="60"/>
        <w:ind w:left="284"/>
        <w:rPr>
          <w:rFonts w:ascii="Times New Roman" w:hAnsi="Times New Roman" w:cs="Times New Roman"/>
        </w:rPr>
      </w:pPr>
      <w:r w:rsidRPr="00837F3F">
        <w:rPr>
          <w:rFonts w:ascii="Times New Roman" w:hAnsi="Times New Roman" w:cs="Times New Roman"/>
        </w:rPr>
        <w:t xml:space="preserve">- řádné uvedení do provozu </w:t>
      </w:r>
    </w:p>
    <w:p w:rsidR="00A4552C" w:rsidRPr="00837F3F" w:rsidRDefault="00A4552C" w:rsidP="00A4552C">
      <w:pPr>
        <w:pStyle w:val="Default"/>
        <w:spacing w:after="6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3F">
        <w:rPr>
          <w:rFonts w:ascii="Times New Roman" w:hAnsi="Times New Roman" w:cs="Times New Roman"/>
        </w:rPr>
        <w:t xml:space="preserve">zaškolení obsluhy v místě provozu </w:t>
      </w:r>
      <w:r w:rsidR="004604FF">
        <w:rPr>
          <w:rFonts w:ascii="Times New Roman" w:hAnsi="Times New Roman" w:cs="Times New Roman"/>
        </w:rPr>
        <w:t>rolby</w:t>
      </w:r>
      <w:r w:rsidRPr="00837F3F">
        <w:rPr>
          <w:rFonts w:ascii="Times New Roman" w:hAnsi="Times New Roman" w:cs="Times New Roman"/>
        </w:rPr>
        <w:t xml:space="preserve"> </w:t>
      </w:r>
    </w:p>
    <w:p w:rsidR="00837F3F" w:rsidRDefault="00CD7BAE" w:rsidP="00A4552C">
      <w:pPr>
        <w:pStyle w:val="Default"/>
        <w:spacing w:after="60"/>
        <w:ind w:left="426" w:hanging="142"/>
        <w:rPr>
          <w:rFonts w:ascii="Times New Roman" w:hAnsi="Times New Roman" w:cs="Times New Roman"/>
        </w:rPr>
      </w:pPr>
      <w:r w:rsidRPr="00837F3F">
        <w:rPr>
          <w:rFonts w:ascii="Times New Roman" w:hAnsi="Times New Roman" w:cs="Times New Roman"/>
        </w:rPr>
        <w:t xml:space="preserve">- dodání návodu k obsluze stroje </w:t>
      </w:r>
      <w:r w:rsidR="00A4552C" w:rsidRPr="00A4552C">
        <w:rPr>
          <w:rFonts w:ascii="Times New Roman" w:hAnsi="Times New Roman" w:cs="Times New Roman"/>
        </w:rPr>
        <w:t xml:space="preserve">vč. podmínek bezpečnosti práce </w:t>
      </w:r>
      <w:r w:rsidR="00837F3F" w:rsidRPr="00837F3F">
        <w:rPr>
          <w:rFonts w:ascii="Times New Roman" w:hAnsi="Times New Roman" w:cs="Times New Roman"/>
        </w:rPr>
        <w:t>a popisu ovládacích prvků rolby v českém jazyce</w:t>
      </w:r>
    </w:p>
    <w:p w:rsidR="00CD7BAE" w:rsidRDefault="00CD7BAE" w:rsidP="00190376">
      <w:pPr>
        <w:pStyle w:val="Default"/>
        <w:spacing w:after="60"/>
        <w:ind w:left="284"/>
        <w:rPr>
          <w:rFonts w:ascii="Times New Roman" w:hAnsi="Times New Roman" w:cs="Times New Roman"/>
        </w:rPr>
      </w:pPr>
      <w:r w:rsidRPr="00837F3F">
        <w:rPr>
          <w:rFonts w:ascii="Times New Roman" w:hAnsi="Times New Roman" w:cs="Times New Roman"/>
        </w:rPr>
        <w:t xml:space="preserve">- předání záručních listů a technické dokumentace </w:t>
      </w:r>
    </w:p>
    <w:p w:rsidR="00837F3F" w:rsidRPr="00837F3F" w:rsidRDefault="00837F3F" w:rsidP="00190376">
      <w:pPr>
        <w:pStyle w:val="Default"/>
        <w:spacing w:after="6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předání servisní knížky</w:t>
      </w:r>
    </w:p>
    <w:p w:rsidR="00CD7BAE" w:rsidRDefault="00CD7BAE" w:rsidP="00837F3F">
      <w:pPr>
        <w:pStyle w:val="Default"/>
        <w:ind w:left="284"/>
        <w:rPr>
          <w:rFonts w:ascii="Times New Roman" w:hAnsi="Times New Roman" w:cs="Times New Roman"/>
        </w:rPr>
      </w:pPr>
      <w:r w:rsidRPr="00837F3F">
        <w:rPr>
          <w:rFonts w:ascii="Times New Roman" w:hAnsi="Times New Roman" w:cs="Times New Roman"/>
        </w:rPr>
        <w:t xml:space="preserve">- </w:t>
      </w:r>
      <w:r w:rsidR="00A60181">
        <w:rPr>
          <w:rFonts w:ascii="Times New Roman" w:hAnsi="Times New Roman" w:cs="Times New Roman"/>
        </w:rPr>
        <w:t xml:space="preserve">předání </w:t>
      </w:r>
      <w:r w:rsidRPr="00837F3F">
        <w:rPr>
          <w:rFonts w:ascii="Times New Roman" w:hAnsi="Times New Roman" w:cs="Times New Roman"/>
        </w:rPr>
        <w:t xml:space="preserve">velkého technického průkazu </w:t>
      </w:r>
    </w:p>
    <w:p w:rsidR="002130FC" w:rsidRDefault="002130FC" w:rsidP="00837F3F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13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předání katalogu a </w:t>
      </w:r>
      <w:r w:rsidRPr="00E117C4">
        <w:rPr>
          <w:rFonts w:ascii="Times New Roman" w:hAnsi="Times New Roman" w:cs="Times New Roman"/>
        </w:rPr>
        <w:t>ceník</w:t>
      </w:r>
      <w:r>
        <w:rPr>
          <w:rFonts w:ascii="Times New Roman" w:hAnsi="Times New Roman" w:cs="Times New Roman"/>
        </w:rPr>
        <w:t>u</w:t>
      </w:r>
      <w:r w:rsidRPr="00E117C4">
        <w:rPr>
          <w:rFonts w:ascii="Times New Roman" w:hAnsi="Times New Roman" w:cs="Times New Roman"/>
        </w:rPr>
        <w:t xml:space="preserve"> náhradních dílů v Kč</w:t>
      </w:r>
    </w:p>
    <w:p w:rsidR="00E117C4" w:rsidRDefault="003A7856" w:rsidP="003A7856">
      <w:pPr>
        <w:spacing w:before="120" w:after="60"/>
        <w:jc w:val="both"/>
        <w:rPr>
          <w:b/>
          <w:u w:val="single"/>
        </w:rPr>
      </w:pPr>
      <w:r>
        <w:rPr>
          <w:b/>
          <w:u w:val="single"/>
        </w:rPr>
        <w:t xml:space="preserve">Záruční a </w:t>
      </w:r>
      <w:r w:rsidR="00E117C4">
        <w:rPr>
          <w:b/>
          <w:u w:val="single"/>
        </w:rPr>
        <w:t>Pozáruční servis:</w:t>
      </w:r>
    </w:p>
    <w:p w:rsidR="003A7856" w:rsidRDefault="00E117C4" w:rsidP="003A7856">
      <w:pPr>
        <w:pStyle w:val="Default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E117C4">
        <w:rPr>
          <w:rFonts w:ascii="Times New Roman" w:hAnsi="Times New Roman" w:cs="Times New Roman"/>
        </w:rPr>
        <w:t xml:space="preserve">zajištění servisu včetně náhradních dílů po dobu 10 let od </w:t>
      </w:r>
      <w:proofErr w:type="spellStart"/>
      <w:r w:rsidR="003A7856" w:rsidRPr="00E56AE2">
        <w:rPr>
          <w:rFonts w:ascii="Times New Roman" w:hAnsi="Times New Roman"/>
        </w:rPr>
        <w:t>od</w:t>
      </w:r>
      <w:proofErr w:type="spellEnd"/>
      <w:r w:rsidR="003A7856" w:rsidRPr="00E56AE2">
        <w:rPr>
          <w:rFonts w:ascii="Times New Roman" w:hAnsi="Times New Roman"/>
        </w:rPr>
        <w:t xml:space="preserve"> protokolárního převzetí stroje a příslušenství.</w:t>
      </w:r>
    </w:p>
    <w:p w:rsidR="00E117C4" w:rsidRPr="00E117C4" w:rsidRDefault="00E117C4" w:rsidP="00E117C4">
      <w:pPr>
        <w:pStyle w:val="Default"/>
        <w:spacing w:after="6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6423">
        <w:rPr>
          <w:rFonts w:ascii="Times New Roman" w:hAnsi="Times New Roman" w:cs="Times New Roman"/>
        </w:rPr>
        <w:t xml:space="preserve">katalog a </w:t>
      </w:r>
      <w:r w:rsidRPr="00E117C4">
        <w:rPr>
          <w:rFonts w:ascii="Times New Roman" w:hAnsi="Times New Roman" w:cs="Times New Roman"/>
        </w:rPr>
        <w:t xml:space="preserve">ceník náhradních dílů v Kč </w:t>
      </w:r>
    </w:p>
    <w:p w:rsidR="003A7856" w:rsidRDefault="00E117C4" w:rsidP="003A7856">
      <w:pPr>
        <w:pStyle w:val="Defaul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E117C4">
        <w:rPr>
          <w:rFonts w:ascii="Times New Roman" w:hAnsi="Times New Roman" w:cs="Times New Roman"/>
        </w:rPr>
        <w:t xml:space="preserve">zajištění </w:t>
      </w:r>
      <w:r w:rsidR="003A7856">
        <w:rPr>
          <w:rFonts w:ascii="Times New Roman" w:hAnsi="Times New Roman" w:cs="Times New Roman"/>
        </w:rPr>
        <w:t xml:space="preserve">záručního a </w:t>
      </w:r>
      <w:r w:rsidRPr="00E117C4">
        <w:rPr>
          <w:rFonts w:ascii="Times New Roman" w:hAnsi="Times New Roman" w:cs="Times New Roman"/>
        </w:rPr>
        <w:t xml:space="preserve">pozáručního </w:t>
      </w:r>
      <w:proofErr w:type="gramStart"/>
      <w:r w:rsidRPr="00E117C4">
        <w:rPr>
          <w:rFonts w:ascii="Times New Roman" w:hAnsi="Times New Roman" w:cs="Times New Roman"/>
        </w:rPr>
        <w:t xml:space="preserve">servisu </w:t>
      </w:r>
      <w:r w:rsidR="003A7856">
        <w:rPr>
          <w:rFonts w:ascii="Times New Roman" w:hAnsi="Times New Roman" w:cs="Times New Roman"/>
        </w:rPr>
        <w:t xml:space="preserve"> v</w:t>
      </w:r>
      <w:proofErr w:type="gramEnd"/>
      <w:r w:rsidR="003A7856">
        <w:rPr>
          <w:rFonts w:ascii="Times New Roman" w:hAnsi="Times New Roman" w:cs="Times New Roman"/>
        </w:rPr>
        <w:t xml:space="preserve"> místě dodání stroje do </w:t>
      </w:r>
      <w:r w:rsidR="00087CE7">
        <w:rPr>
          <w:rFonts w:ascii="Times New Roman" w:hAnsi="Times New Roman" w:cs="Times New Roman"/>
        </w:rPr>
        <w:t>24</w:t>
      </w:r>
      <w:r w:rsidRPr="00E117C4">
        <w:rPr>
          <w:rFonts w:ascii="Times New Roman" w:hAnsi="Times New Roman" w:cs="Times New Roman"/>
        </w:rPr>
        <w:t xml:space="preserve"> hodin</w:t>
      </w:r>
      <w:r w:rsidR="003A7856">
        <w:rPr>
          <w:rFonts w:ascii="Times New Roman" w:hAnsi="Times New Roman" w:cs="Times New Roman"/>
        </w:rPr>
        <w:t xml:space="preserve"> </w:t>
      </w:r>
      <w:r w:rsidR="003A7856" w:rsidRPr="00E56AE2">
        <w:rPr>
          <w:rFonts w:ascii="Times New Roman" w:hAnsi="Times New Roman"/>
        </w:rPr>
        <w:t>od nahlášení vady nebo poruchy, prováděného odborným servisním střediskem autorizovaným výrobcem stroje.</w:t>
      </w:r>
    </w:p>
    <w:p w:rsidR="00A4552C" w:rsidRPr="00A4552C" w:rsidRDefault="00A4552C" w:rsidP="00A4552C">
      <w:pPr>
        <w:spacing w:after="60"/>
        <w:ind w:left="284"/>
      </w:pPr>
      <w:r w:rsidRPr="00A4552C">
        <w:t xml:space="preserve">Dodavatel prohlašuje, že nabízená rolba </w:t>
      </w:r>
      <w:r w:rsidR="006E6423">
        <w:t xml:space="preserve">bude </w:t>
      </w:r>
      <w:r w:rsidRPr="00A4552C">
        <w:t>splň</w:t>
      </w:r>
      <w:r w:rsidR="006E6423">
        <w:t xml:space="preserve">ovat </w:t>
      </w:r>
      <w:r w:rsidRPr="00A4552C">
        <w:t>v době prodeje všechny předpisy, homologaci a zákony upravující její provoz dle platné legislativy ČR a směrnic EU.</w:t>
      </w:r>
    </w:p>
    <w:p w:rsidR="00190376" w:rsidRPr="00837F3F" w:rsidRDefault="00190376" w:rsidP="00837F3F">
      <w:pPr>
        <w:pStyle w:val="Default"/>
        <w:ind w:left="284"/>
        <w:rPr>
          <w:rFonts w:ascii="Times New Roman" w:hAnsi="Times New Roman" w:cs="Times New Roman"/>
        </w:rPr>
      </w:pPr>
    </w:p>
    <w:p w:rsidR="00805E9F" w:rsidRPr="00980BAB" w:rsidRDefault="00805E9F" w:rsidP="00980BAB">
      <w:pPr>
        <w:spacing w:after="60"/>
        <w:ind w:left="284"/>
      </w:pPr>
      <w:r w:rsidRPr="00980BAB">
        <w:t>Dodavatel čestně prohlašuje, že jím uvedené údaje jsou pravdivé</w:t>
      </w:r>
      <w:r w:rsidR="00752611" w:rsidRPr="00980BAB">
        <w:t xml:space="preserve"> a že v rámci případného plnění veřejné zakázky dodá přesně </w:t>
      </w:r>
      <w:r w:rsidR="00161EC4">
        <w:t xml:space="preserve">tuto rolbu </w:t>
      </w:r>
      <w:r w:rsidR="00752611" w:rsidRPr="00980BAB">
        <w:t>s uvedenými parametry</w:t>
      </w:r>
      <w:r w:rsidRPr="00980BAB">
        <w:t>.</w:t>
      </w:r>
    </w:p>
    <w:p w:rsidR="00805E9F" w:rsidRDefault="00805E9F" w:rsidP="00805E9F"/>
    <w:p w:rsidR="0066297E" w:rsidRPr="0066297E" w:rsidRDefault="0066297E" w:rsidP="00805E9F">
      <w:pPr>
        <w:rPr>
          <w:rFonts w:ascii="Cambria" w:hAnsi="Cambria"/>
        </w:rPr>
      </w:pPr>
    </w:p>
    <w:p w:rsidR="00805E9F" w:rsidRPr="00980BAB" w:rsidRDefault="00805E9F" w:rsidP="00805E9F">
      <w:r w:rsidRPr="00980BAB">
        <w:t>V</w:t>
      </w:r>
      <w:r w:rsidR="001A2740" w:rsidRPr="00980BAB">
        <w:t xml:space="preserve"> </w:t>
      </w:r>
      <w:r w:rsidR="003A7856">
        <w:t>………………</w:t>
      </w:r>
      <w:proofErr w:type="gramStart"/>
      <w:r w:rsidR="003A7856">
        <w:t>…….</w:t>
      </w:r>
      <w:proofErr w:type="gramEnd"/>
      <w:r w:rsidR="003A7856">
        <w:t>.</w:t>
      </w:r>
      <w:r w:rsidR="001A2740" w:rsidRPr="00980BAB">
        <w:t xml:space="preserve"> </w:t>
      </w:r>
      <w:r w:rsidRPr="00980BAB">
        <w:t>dne</w:t>
      </w:r>
      <w:r w:rsidR="001A2740" w:rsidRPr="00980BAB">
        <w:t xml:space="preserve"> </w:t>
      </w:r>
      <w:r w:rsidR="003A7856">
        <w:t>……………………</w:t>
      </w:r>
    </w:p>
    <w:p w:rsidR="00805E9F" w:rsidRPr="00980BAB" w:rsidRDefault="00805E9F" w:rsidP="00805E9F"/>
    <w:p w:rsidR="00805E9F" w:rsidRPr="00980BAB" w:rsidRDefault="00805E9F" w:rsidP="0045341A"/>
    <w:p w:rsidR="00805E9F" w:rsidRPr="00980BAB" w:rsidRDefault="00805E9F" w:rsidP="00805E9F">
      <w:pPr>
        <w:ind w:left="4248" w:firstLine="708"/>
      </w:pPr>
      <w:r w:rsidRPr="00980BAB">
        <w:t>__________________________________</w:t>
      </w:r>
    </w:p>
    <w:p w:rsidR="001A2740" w:rsidRPr="00980BAB" w:rsidRDefault="00B06BAD" w:rsidP="001A2740">
      <w:pPr>
        <w:ind w:left="4956"/>
        <w:rPr>
          <w:noProof/>
        </w:rPr>
      </w:pPr>
      <w:r w:rsidRPr="00980BAB">
        <w:fldChar w:fldCharType="begin">
          <w:ffData>
            <w:name w:val="Text1"/>
            <w:enabled/>
            <w:calcOnExit w:val="0"/>
            <w:textInput/>
          </w:ffData>
        </w:fldChar>
      </w:r>
      <w:r w:rsidR="001A2740" w:rsidRPr="00980BAB">
        <w:instrText xml:space="preserve"> FORMTEXT </w:instrText>
      </w:r>
      <w:r w:rsidRPr="00980BAB">
        <w:fldChar w:fldCharType="separate"/>
      </w:r>
      <w:r w:rsidR="001A2740" w:rsidRPr="00980BAB">
        <w:rPr>
          <w:noProof/>
        </w:rPr>
        <w:t>Jméno a funkce oprávněné osoby dodavatele</w:t>
      </w:r>
    </w:p>
    <w:p w:rsidR="001A2740" w:rsidRDefault="001A2740" w:rsidP="001A2740">
      <w:pPr>
        <w:ind w:left="4956"/>
        <w:rPr>
          <w:rFonts w:ascii="Cambria" w:hAnsi="Cambria"/>
        </w:rPr>
      </w:pPr>
      <w:r w:rsidRPr="00980BAB">
        <w:rPr>
          <w:noProof/>
        </w:rPr>
        <w:t>Razítko a podpis oprávněné osoby dodavatele</w:t>
      </w:r>
      <w:r w:rsidR="00B06BAD" w:rsidRPr="00980BAB">
        <w:fldChar w:fldCharType="end"/>
      </w:r>
    </w:p>
    <w:sectPr w:rsidR="001A2740" w:rsidSect="001A274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C9" w:rsidRDefault="00A247C9" w:rsidP="00BD7207">
      <w:r>
        <w:separator/>
      </w:r>
    </w:p>
  </w:endnote>
  <w:endnote w:type="continuationSeparator" w:id="0">
    <w:p w:rsidR="00A247C9" w:rsidRDefault="00A247C9" w:rsidP="00B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C9" w:rsidRDefault="00A247C9" w:rsidP="00BD7207">
      <w:r>
        <w:separator/>
      </w:r>
    </w:p>
  </w:footnote>
  <w:footnote w:type="continuationSeparator" w:id="0">
    <w:p w:rsidR="00A247C9" w:rsidRDefault="00A247C9" w:rsidP="00BD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86" w:rsidRPr="0024684D" w:rsidRDefault="005C3B09" w:rsidP="0024684D">
    <w:pPr>
      <w:pStyle w:val="Zhlav"/>
      <w:pBdr>
        <w:bottom w:val="single" w:sz="4" w:space="1" w:color="auto"/>
      </w:pBdr>
      <w:jc w:val="right"/>
      <w:rPr>
        <w:i/>
      </w:rPr>
    </w:pPr>
    <w:r w:rsidRPr="005C3B09">
      <w:rPr>
        <w:i/>
      </w:rPr>
      <w:t xml:space="preserve">Příloha č. </w:t>
    </w:r>
    <w:r w:rsidR="001162E1">
      <w:rPr>
        <w:i/>
      </w:rPr>
      <w:t>2</w:t>
    </w:r>
    <w:r w:rsidRPr="005C3B09">
      <w:rPr>
        <w:i/>
      </w:rPr>
      <w:t xml:space="preserve"> výzvy k 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vertAlign w:val="superscript"/>
      </w:rPr>
    </w:lvl>
  </w:abstractNum>
  <w:abstractNum w:abstractNumId="1" w15:restartNumberingAfterBreak="0">
    <w:nsid w:val="277A31D1"/>
    <w:multiLevelType w:val="hybridMultilevel"/>
    <w:tmpl w:val="B79C6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74EA"/>
    <w:multiLevelType w:val="hybridMultilevel"/>
    <w:tmpl w:val="FE4A1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5E78"/>
    <w:multiLevelType w:val="hybridMultilevel"/>
    <w:tmpl w:val="4EE86BCA"/>
    <w:lvl w:ilvl="0" w:tplc="ADC264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2"/>
    <w:rsid w:val="00002747"/>
    <w:rsid w:val="0001539A"/>
    <w:rsid w:val="00023D04"/>
    <w:rsid w:val="000309FF"/>
    <w:rsid w:val="00063BCA"/>
    <w:rsid w:val="00077AD4"/>
    <w:rsid w:val="0008167B"/>
    <w:rsid w:val="00087CE7"/>
    <w:rsid w:val="000B492C"/>
    <w:rsid w:val="000F0FF5"/>
    <w:rsid w:val="000F2A7D"/>
    <w:rsid w:val="001162E1"/>
    <w:rsid w:val="00117046"/>
    <w:rsid w:val="00131F2F"/>
    <w:rsid w:val="0013388C"/>
    <w:rsid w:val="00136265"/>
    <w:rsid w:val="00141E93"/>
    <w:rsid w:val="00161EC4"/>
    <w:rsid w:val="00171DE9"/>
    <w:rsid w:val="00190376"/>
    <w:rsid w:val="001A2740"/>
    <w:rsid w:val="001C071F"/>
    <w:rsid w:val="001C1C6F"/>
    <w:rsid w:val="001C2B5E"/>
    <w:rsid w:val="001E3160"/>
    <w:rsid w:val="001E6DC3"/>
    <w:rsid w:val="001F1FE5"/>
    <w:rsid w:val="001F34DB"/>
    <w:rsid w:val="001F5FFE"/>
    <w:rsid w:val="00201373"/>
    <w:rsid w:val="002130FC"/>
    <w:rsid w:val="00246680"/>
    <w:rsid w:val="0024684D"/>
    <w:rsid w:val="002562CF"/>
    <w:rsid w:val="00256D54"/>
    <w:rsid w:val="002747E0"/>
    <w:rsid w:val="002A37B3"/>
    <w:rsid w:val="002A6F31"/>
    <w:rsid w:val="002B5470"/>
    <w:rsid w:val="002D779A"/>
    <w:rsid w:val="002E7876"/>
    <w:rsid w:val="00335079"/>
    <w:rsid w:val="00344C86"/>
    <w:rsid w:val="00345DBE"/>
    <w:rsid w:val="00362D65"/>
    <w:rsid w:val="00383923"/>
    <w:rsid w:val="003A7856"/>
    <w:rsid w:val="003C397F"/>
    <w:rsid w:val="003D1489"/>
    <w:rsid w:val="00416485"/>
    <w:rsid w:val="00437F02"/>
    <w:rsid w:val="004463D0"/>
    <w:rsid w:val="0045341A"/>
    <w:rsid w:val="00454467"/>
    <w:rsid w:val="004546F5"/>
    <w:rsid w:val="004558D2"/>
    <w:rsid w:val="004604FF"/>
    <w:rsid w:val="00465F83"/>
    <w:rsid w:val="004B39C1"/>
    <w:rsid w:val="004C20F3"/>
    <w:rsid w:val="004C2BC6"/>
    <w:rsid w:val="004D12CE"/>
    <w:rsid w:val="004E133C"/>
    <w:rsid w:val="004F7E70"/>
    <w:rsid w:val="005168C3"/>
    <w:rsid w:val="00541B16"/>
    <w:rsid w:val="00565007"/>
    <w:rsid w:val="0058616A"/>
    <w:rsid w:val="005B0867"/>
    <w:rsid w:val="005B7837"/>
    <w:rsid w:val="005C3B09"/>
    <w:rsid w:val="005D35ED"/>
    <w:rsid w:val="00624739"/>
    <w:rsid w:val="00635A8E"/>
    <w:rsid w:val="00641E29"/>
    <w:rsid w:val="00644DD9"/>
    <w:rsid w:val="006518C0"/>
    <w:rsid w:val="0065799F"/>
    <w:rsid w:val="0066297E"/>
    <w:rsid w:val="00662EAB"/>
    <w:rsid w:val="006671E4"/>
    <w:rsid w:val="00677560"/>
    <w:rsid w:val="00680D67"/>
    <w:rsid w:val="006810AA"/>
    <w:rsid w:val="00687403"/>
    <w:rsid w:val="006A6C99"/>
    <w:rsid w:val="006B759C"/>
    <w:rsid w:val="006C3159"/>
    <w:rsid w:val="006D3B7B"/>
    <w:rsid w:val="006D7B87"/>
    <w:rsid w:val="006E6423"/>
    <w:rsid w:val="00712ECA"/>
    <w:rsid w:val="00734F87"/>
    <w:rsid w:val="00752611"/>
    <w:rsid w:val="00765547"/>
    <w:rsid w:val="007C550B"/>
    <w:rsid w:val="007D032D"/>
    <w:rsid w:val="007D71A9"/>
    <w:rsid w:val="00805E9F"/>
    <w:rsid w:val="008222BC"/>
    <w:rsid w:val="00837F3F"/>
    <w:rsid w:val="00843E09"/>
    <w:rsid w:val="00860D0E"/>
    <w:rsid w:val="00883D0C"/>
    <w:rsid w:val="008969DE"/>
    <w:rsid w:val="008A27AA"/>
    <w:rsid w:val="008B6B10"/>
    <w:rsid w:val="008C60BA"/>
    <w:rsid w:val="008C632D"/>
    <w:rsid w:val="008F382A"/>
    <w:rsid w:val="00903B4A"/>
    <w:rsid w:val="009247B6"/>
    <w:rsid w:val="009302DD"/>
    <w:rsid w:val="00946E72"/>
    <w:rsid w:val="00980BAB"/>
    <w:rsid w:val="00994825"/>
    <w:rsid w:val="009A4C0A"/>
    <w:rsid w:val="009A6F70"/>
    <w:rsid w:val="009A76DD"/>
    <w:rsid w:val="009B5B4B"/>
    <w:rsid w:val="009C4A0B"/>
    <w:rsid w:val="009F10E4"/>
    <w:rsid w:val="009F34DF"/>
    <w:rsid w:val="009F4258"/>
    <w:rsid w:val="009F65AA"/>
    <w:rsid w:val="00A247C9"/>
    <w:rsid w:val="00A4552C"/>
    <w:rsid w:val="00A46044"/>
    <w:rsid w:val="00A60181"/>
    <w:rsid w:val="00A7343F"/>
    <w:rsid w:val="00A76D5B"/>
    <w:rsid w:val="00A83868"/>
    <w:rsid w:val="00AB567C"/>
    <w:rsid w:val="00AE5BB5"/>
    <w:rsid w:val="00AF1086"/>
    <w:rsid w:val="00B06BAD"/>
    <w:rsid w:val="00B121B4"/>
    <w:rsid w:val="00B206FF"/>
    <w:rsid w:val="00B31ECF"/>
    <w:rsid w:val="00B63412"/>
    <w:rsid w:val="00BA4F8D"/>
    <w:rsid w:val="00BB282C"/>
    <w:rsid w:val="00BD7207"/>
    <w:rsid w:val="00BF10DA"/>
    <w:rsid w:val="00BF5A26"/>
    <w:rsid w:val="00C358E4"/>
    <w:rsid w:val="00C61BF3"/>
    <w:rsid w:val="00C74427"/>
    <w:rsid w:val="00CA271D"/>
    <w:rsid w:val="00CD74A0"/>
    <w:rsid w:val="00CD7BAE"/>
    <w:rsid w:val="00D25B5D"/>
    <w:rsid w:val="00D41CCC"/>
    <w:rsid w:val="00D6192E"/>
    <w:rsid w:val="00D619BF"/>
    <w:rsid w:val="00D64869"/>
    <w:rsid w:val="00D77DC5"/>
    <w:rsid w:val="00D84868"/>
    <w:rsid w:val="00D961C2"/>
    <w:rsid w:val="00DB56A1"/>
    <w:rsid w:val="00DE5E52"/>
    <w:rsid w:val="00DE7F82"/>
    <w:rsid w:val="00E117C4"/>
    <w:rsid w:val="00E429C5"/>
    <w:rsid w:val="00E706DF"/>
    <w:rsid w:val="00E97F5A"/>
    <w:rsid w:val="00EA2CA5"/>
    <w:rsid w:val="00ED3F91"/>
    <w:rsid w:val="00EE6C65"/>
    <w:rsid w:val="00EF62F7"/>
    <w:rsid w:val="00EF7A4F"/>
    <w:rsid w:val="00F37A09"/>
    <w:rsid w:val="00F415B8"/>
    <w:rsid w:val="00F5243D"/>
    <w:rsid w:val="00F717CB"/>
    <w:rsid w:val="00F810A2"/>
    <w:rsid w:val="00FB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662B"/>
  <w15:docId w15:val="{A09F331D-B43A-4A0F-87C0-E8498EC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2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2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2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pace">
    <w:name w:val="tabspace"/>
    <w:next w:val="Normln"/>
    <w:rsid w:val="009302DD"/>
    <w:pPr>
      <w:widowControl w:val="0"/>
      <w:snapToGrid w:val="0"/>
      <w:spacing w:before="10" w:after="10" w:line="240" w:lineRule="auto"/>
      <w:ind w:left="1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80D67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">
    <w:name w:val="Mřížka tabulky1"/>
    <w:basedOn w:val="Normlntabulka"/>
    <w:uiPriority w:val="59"/>
    <w:rsid w:val="0068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5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D7B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jednatel</dc:creator>
  <cp:lastModifiedBy>Jitka Jarošová</cp:lastModifiedBy>
  <cp:revision>4</cp:revision>
  <dcterms:created xsi:type="dcterms:W3CDTF">2018-06-05T07:22:00Z</dcterms:created>
  <dcterms:modified xsi:type="dcterms:W3CDTF">2018-06-13T15:00:00Z</dcterms:modified>
</cp:coreProperties>
</file>