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BB2" w:rsidRDefault="000F6BB2" w:rsidP="00B71F47">
      <w:pPr>
        <w:widowControl w:val="0"/>
        <w:spacing w:line="280" w:lineRule="atLeast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B71F47" w:rsidRPr="00B71F47" w:rsidRDefault="00B71F47" w:rsidP="004D7A96">
      <w:pPr>
        <w:spacing w:line="240" w:lineRule="auto"/>
        <w:ind w:left="0" w:firstLine="0"/>
        <w:rPr>
          <w:rStyle w:val="Zvraznn"/>
          <w:b/>
        </w:rPr>
      </w:pPr>
      <w:bookmarkStart w:id="0" w:name="_GoBack"/>
    </w:p>
    <w:bookmarkEnd w:id="0"/>
    <w:p w:rsidR="00793A9F" w:rsidRPr="00793A9F" w:rsidRDefault="00793A9F" w:rsidP="00B71F47">
      <w:pPr>
        <w:spacing w:line="240" w:lineRule="auto"/>
        <w:ind w:left="0" w:firstLine="0"/>
        <w:rPr>
          <w:rStyle w:val="Zvraznn"/>
          <w:b/>
        </w:rPr>
      </w:pPr>
      <w:r w:rsidRPr="00793A9F">
        <w:rPr>
          <w:rStyle w:val="Zvraznn"/>
          <w:b/>
        </w:rPr>
        <w:t>Obsah</w:t>
      </w:r>
      <w:r>
        <w:rPr>
          <w:rStyle w:val="Zvraznn"/>
          <w:b/>
        </w:rPr>
        <w:t xml:space="preserve"> technické zprávy</w:t>
      </w:r>
      <w:r w:rsidRPr="00793A9F">
        <w:rPr>
          <w:rStyle w:val="Zvraznn"/>
          <w:b/>
        </w:rPr>
        <w:t>:</w:t>
      </w:r>
    </w:p>
    <w:p w:rsidR="00793A9F" w:rsidRDefault="00793A9F" w:rsidP="00B71F47">
      <w:pPr>
        <w:spacing w:line="240" w:lineRule="auto"/>
        <w:ind w:left="0" w:firstLine="0"/>
      </w:pPr>
    </w:p>
    <w:p w:rsidR="00D0080A" w:rsidRDefault="00657FD9" w:rsidP="00B71F47">
      <w:pPr>
        <w:pStyle w:val="Obsah3"/>
        <w:tabs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r>
        <w:fldChar w:fldCharType="begin"/>
      </w:r>
      <w:r w:rsidR="00793A9F">
        <w:instrText xml:space="preserve"> TOC \o "1-4" \h \z \u </w:instrText>
      </w:r>
      <w:r>
        <w:fldChar w:fldCharType="separate"/>
      </w:r>
      <w:hyperlink w:anchor="_Toc486422621" w:history="1">
        <w:r w:rsidR="00D0080A" w:rsidRPr="003B319D">
          <w:rPr>
            <w:rStyle w:val="Hypertextovodkaz"/>
            <w:noProof/>
          </w:rPr>
          <w:t>1.</w:t>
        </w:r>
        <w:r w:rsidR="00D0080A">
          <w:rPr>
            <w:rFonts w:eastAsiaTheme="minorEastAsia"/>
            <w:noProof/>
            <w:lang w:eastAsia="cs-CZ"/>
          </w:rPr>
          <w:tab/>
        </w:r>
        <w:r w:rsidR="00D0080A" w:rsidRPr="003B319D">
          <w:rPr>
            <w:rStyle w:val="Hypertextovodkaz"/>
            <w:noProof/>
          </w:rPr>
          <w:t>Předpokládané vnější vlivy</w:t>
        </w:r>
        <w:r w:rsidR="00D0080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0080A">
          <w:rPr>
            <w:noProof/>
            <w:webHidden/>
          </w:rPr>
          <w:instrText xml:space="preserve"> PAGEREF _Toc486422621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06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0080A" w:rsidRDefault="00657FD9" w:rsidP="00B71F47">
      <w:pPr>
        <w:pStyle w:val="Obsah4"/>
        <w:tabs>
          <w:tab w:val="left" w:pos="880"/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hyperlink w:anchor="_Toc486422622" w:history="1">
        <w:r w:rsidR="00D0080A" w:rsidRPr="003B319D">
          <w:rPr>
            <w:rStyle w:val="Hypertextovodkaz"/>
            <w:noProof/>
          </w:rPr>
          <w:t>1.1.</w:t>
        </w:r>
        <w:r w:rsidR="00D0080A">
          <w:rPr>
            <w:rFonts w:eastAsiaTheme="minorEastAsia"/>
            <w:noProof/>
            <w:lang w:eastAsia="cs-CZ"/>
          </w:rPr>
          <w:tab/>
        </w:r>
        <w:r w:rsidR="00D0080A" w:rsidRPr="003B319D">
          <w:rPr>
            <w:rStyle w:val="Hypertextovodkaz"/>
            <w:noProof/>
          </w:rPr>
          <w:t>Vnitřní prostory</w:t>
        </w:r>
        <w:r w:rsidR="00D0080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0080A">
          <w:rPr>
            <w:noProof/>
            <w:webHidden/>
          </w:rPr>
          <w:instrText xml:space="preserve"> PAGEREF _Toc486422622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06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0080A" w:rsidRDefault="00657FD9" w:rsidP="00B71F47">
      <w:pPr>
        <w:pStyle w:val="Obsah3"/>
        <w:tabs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hyperlink w:anchor="_Toc486422623" w:history="1">
        <w:r w:rsidR="00D0080A" w:rsidRPr="003B319D">
          <w:rPr>
            <w:rStyle w:val="Hypertextovodkaz"/>
            <w:noProof/>
          </w:rPr>
          <w:t>2.</w:t>
        </w:r>
        <w:r w:rsidR="00D0080A">
          <w:rPr>
            <w:rFonts w:eastAsiaTheme="minorEastAsia"/>
            <w:noProof/>
            <w:lang w:eastAsia="cs-CZ"/>
          </w:rPr>
          <w:tab/>
        </w:r>
        <w:r w:rsidR="00D0080A" w:rsidRPr="003B319D">
          <w:rPr>
            <w:rStyle w:val="Hypertextovodkaz"/>
            <w:noProof/>
          </w:rPr>
          <w:t>Napájecí Soustava</w:t>
        </w:r>
        <w:r w:rsidR="00D0080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0080A">
          <w:rPr>
            <w:noProof/>
            <w:webHidden/>
          </w:rPr>
          <w:instrText xml:space="preserve"> PAGEREF _Toc486422623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06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0080A" w:rsidRDefault="00657FD9" w:rsidP="00B71F47">
      <w:pPr>
        <w:pStyle w:val="Obsah3"/>
        <w:tabs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hyperlink w:anchor="_Toc486422624" w:history="1">
        <w:r w:rsidR="00D0080A" w:rsidRPr="003B319D">
          <w:rPr>
            <w:rStyle w:val="Hypertextovodkaz"/>
            <w:noProof/>
          </w:rPr>
          <w:t>3.</w:t>
        </w:r>
        <w:r w:rsidR="00D0080A">
          <w:rPr>
            <w:rFonts w:eastAsiaTheme="minorEastAsia"/>
            <w:noProof/>
            <w:lang w:eastAsia="cs-CZ"/>
          </w:rPr>
          <w:tab/>
        </w:r>
        <w:r w:rsidR="00D0080A" w:rsidRPr="003B319D">
          <w:rPr>
            <w:rStyle w:val="Hypertextovodkaz"/>
            <w:noProof/>
          </w:rPr>
          <w:t>Energetická bilance objektu a měření</w:t>
        </w:r>
        <w:r w:rsidR="00D0080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0080A">
          <w:rPr>
            <w:noProof/>
            <w:webHidden/>
          </w:rPr>
          <w:instrText xml:space="preserve"> PAGEREF _Toc486422624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06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0080A" w:rsidRDefault="00657FD9" w:rsidP="00B71F47">
      <w:pPr>
        <w:pStyle w:val="Obsah3"/>
        <w:tabs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hyperlink w:anchor="_Toc486422625" w:history="1">
        <w:r w:rsidR="00D0080A" w:rsidRPr="003B319D">
          <w:rPr>
            <w:rStyle w:val="Hypertextovodkaz"/>
            <w:noProof/>
          </w:rPr>
          <w:t>4.</w:t>
        </w:r>
        <w:r w:rsidR="00D0080A">
          <w:rPr>
            <w:rFonts w:eastAsiaTheme="minorEastAsia"/>
            <w:noProof/>
            <w:lang w:eastAsia="cs-CZ"/>
          </w:rPr>
          <w:tab/>
        </w:r>
        <w:r w:rsidR="00D0080A" w:rsidRPr="003B319D">
          <w:rPr>
            <w:rStyle w:val="Hypertextovodkaz"/>
            <w:noProof/>
          </w:rPr>
          <w:t>Záměr akce</w:t>
        </w:r>
        <w:r w:rsidR="00D0080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0080A">
          <w:rPr>
            <w:noProof/>
            <w:webHidden/>
          </w:rPr>
          <w:instrText xml:space="preserve"> PAGEREF _Toc486422625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06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080A" w:rsidRDefault="00657FD9" w:rsidP="00B71F47">
      <w:pPr>
        <w:pStyle w:val="Obsah3"/>
        <w:tabs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hyperlink w:anchor="_Toc486422626" w:history="1">
        <w:r w:rsidR="00D0080A" w:rsidRPr="003B319D">
          <w:rPr>
            <w:rStyle w:val="Hypertextovodkaz"/>
            <w:noProof/>
          </w:rPr>
          <w:t>5.</w:t>
        </w:r>
        <w:r w:rsidR="00D0080A">
          <w:rPr>
            <w:rFonts w:eastAsiaTheme="minorEastAsia"/>
            <w:noProof/>
            <w:lang w:eastAsia="cs-CZ"/>
          </w:rPr>
          <w:tab/>
        </w:r>
        <w:r w:rsidR="00D0080A" w:rsidRPr="003B319D">
          <w:rPr>
            <w:rStyle w:val="Hypertextovodkaz"/>
            <w:noProof/>
          </w:rPr>
          <w:t>Technické řešení</w:t>
        </w:r>
        <w:r w:rsidR="00D0080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0080A">
          <w:rPr>
            <w:noProof/>
            <w:webHidden/>
          </w:rPr>
          <w:instrText xml:space="preserve"> PAGEREF _Toc486422626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06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080A" w:rsidRDefault="00657FD9" w:rsidP="00B71F47">
      <w:pPr>
        <w:pStyle w:val="Obsah4"/>
        <w:tabs>
          <w:tab w:val="left" w:pos="880"/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hyperlink w:anchor="_Toc486422627" w:history="1">
        <w:r w:rsidR="00D0080A" w:rsidRPr="003B319D">
          <w:rPr>
            <w:rStyle w:val="Hypertextovodkaz"/>
            <w:noProof/>
          </w:rPr>
          <w:t>5.1.</w:t>
        </w:r>
        <w:r w:rsidR="00D0080A">
          <w:rPr>
            <w:rFonts w:eastAsiaTheme="minorEastAsia"/>
            <w:noProof/>
            <w:lang w:eastAsia="cs-CZ"/>
          </w:rPr>
          <w:tab/>
        </w:r>
        <w:r w:rsidR="00D0080A" w:rsidRPr="003B319D">
          <w:rPr>
            <w:rStyle w:val="Hypertextovodkaz"/>
            <w:noProof/>
          </w:rPr>
          <w:t>Napájení</w:t>
        </w:r>
        <w:r w:rsidR="00D0080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0080A">
          <w:rPr>
            <w:noProof/>
            <w:webHidden/>
          </w:rPr>
          <w:instrText xml:space="preserve"> PAGEREF _Toc486422627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06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080A" w:rsidRDefault="00657FD9" w:rsidP="00B71F47">
      <w:pPr>
        <w:pStyle w:val="Obsah4"/>
        <w:tabs>
          <w:tab w:val="left" w:pos="880"/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hyperlink w:anchor="_Toc486422629" w:history="1">
        <w:r w:rsidR="00D0080A" w:rsidRPr="003B319D">
          <w:rPr>
            <w:rStyle w:val="Hypertextovodkaz"/>
            <w:noProof/>
          </w:rPr>
          <w:t>5.</w:t>
        </w:r>
        <w:r w:rsidR="00D306FD">
          <w:rPr>
            <w:rStyle w:val="Hypertextovodkaz"/>
            <w:noProof/>
          </w:rPr>
          <w:t>2</w:t>
        </w:r>
        <w:r w:rsidR="00D0080A" w:rsidRPr="003B319D">
          <w:rPr>
            <w:rStyle w:val="Hypertextovodkaz"/>
            <w:noProof/>
          </w:rPr>
          <w:t>.</w:t>
        </w:r>
        <w:r w:rsidR="00D0080A">
          <w:rPr>
            <w:rFonts w:eastAsiaTheme="minorEastAsia"/>
            <w:noProof/>
            <w:lang w:eastAsia="cs-CZ"/>
          </w:rPr>
          <w:tab/>
        </w:r>
        <w:r w:rsidR="00D0080A" w:rsidRPr="003B319D">
          <w:rPr>
            <w:rStyle w:val="Hypertextovodkaz"/>
            <w:noProof/>
          </w:rPr>
          <w:t>Osvětlení</w:t>
        </w:r>
        <w:r w:rsidR="00D0080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0080A">
          <w:rPr>
            <w:noProof/>
            <w:webHidden/>
          </w:rPr>
          <w:instrText xml:space="preserve"> PAGEREF _Toc486422629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06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080A" w:rsidRDefault="00657FD9" w:rsidP="00B71F47">
      <w:pPr>
        <w:pStyle w:val="Obsah4"/>
        <w:tabs>
          <w:tab w:val="left" w:pos="880"/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hyperlink w:anchor="_Toc486422630" w:history="1">
        <w:r w:rsidR="00D0080A" w:rsidRPr="003B319D">
          <w:rPr>
            <w:rStyle w:val="Hypertextovodkaz"/>
            <w:noProof/>
          </w:rPr>
          <w:t>5</w:t>
        </w:r>
        <w:r w:rsidR="00AF2A27">
          <w:rPr>
            <w:rStyle w:val="Hypertextovodkaz"/>
            <w:noProof/>
          </w:rPr>
          <w:t>.</w:t>
        </w:r>
        <w:r w:rsidR="00D306FD">
          <w:rPr>
            <w:rStyle w:val="Hypertextovodkaz"/>
            <w:noProof/>
          </w:rPr>
          <w:t>3</w:t>
        </w:r>
        <w:r w:rsidR="00AF2A27">
          <w:rPr>
            <w:rStyle w:val="Hypertextovodkaz"/>
            <w:noProof/>
          </w:rPr>
          <w:t xml:space="preserve"> Ostatní </w:t>
        </w:r>
        <w:r w:rsidR="00D0080A" w:rsidRPr="003B319D">
          <w:rPr>
            <w:rStyle w:val="Hypertextovodkaz"/>
            <w:noProof/>
          </w:rPr>
          <w:t>ektroinstalace</w:t>
        </w:r>
        <w:r w:rsidR="00D0080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0080A">
          <w:rPr>
            <w:noProof/>
            <w:webHidden/>
          </w:rPr>
          <w:instrText xml:space="preserve"> PAGEREF _Toc486422630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06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080A" w:rsidRDefault="00657FD9" w:rsidP="00B71F47">
      <w:pPr>
        <w:pStyle w:val="Obsah4"/>
        <w:tabs>
          <w:tab w:val="left" w:pos="880"/>
          <w:tab w:val="right" w:leader="dot" w:pos="9062"/>
        </w:tabs>
        <w:spacing w:after="0" w:line="240" w:lineRule="auto"/>
        <w:rPr>
          <w:noProof/>
        </w:rPr>
      </w:pPr>
      <w:hyperlink w:anchor="_Toc486422631" w:history="1">
        <w:r w:rsidR="00D0080A" w:rsidRPr="003B319D">
          <w:rPr>
            <w:rStyle w:val="Hypertextovodkaz"/>
            <w:noProof/>
          </w:rPr>
          <w:t>5.</w:t>
        </w:r>
        <w:r w:rsidR="00D306FD">
          <w:rPr>
            <w:rStyle w:val="Hypertextovodkaz"/>
            <w:noProof/>
          </w:rPr>
          <w:t>4</w:t>
        </w:r>
        <w:r w:rsidR="00D0080A" w:rsidRPr="003B319D">
          <w:rPr>
            <w:rStyle w:val="Hypertextovodkaz"/>
            <w:noProof/>
          </w:rPr>
          <w:t>.</w:t>
        </w:r>
        <w:r w:rsidR="00D0080A">
          <w:rPr>
            <w:rFonts w:eastAsiaTheme="minorEastAsia"/>
            <w:noProof/>
            <w:lang w:eastAsia="cs-CZ"/>
          </w:rPr>
          <w:tab/>
        </w:r>
        <w:r w:rsidR="00D0080A" w:rsidRPr="003B319D">
          <w:rPr>
            <w:rStyle w:val="Hypertextovodkaz"/>
            <w:noProof/>
          </w:rPr>
          <w:t>Technologie</w:t>
        </w:r>
        <w:r w:rsidR="00D0080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0080A">
          <w:rPr>
            <w:noProof/>
            <w:webHidden/>
          </w:rPr>
          <w:instrText xml:space="preserve"> PAGEREF _Toc486422631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06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66A15" w:rsidRDefault="00657FD9" w:rsidP="00166A15">
      <w:pPr>
        <w:pStyle w:val="Obsah4"/>
        <w:tabs>
          <w:tab w:val="left" w:pos="880"/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hyperlink w:anchor="_Toc486422632" w:history="1">
        <w:r w:rsidR="00166A15" w:rsidRPr="003B319D">
          <w:rPr>
            <w:rStyle w:val="Hypertextovodkaz"/>
            <w:noProof/>
          </w:rPr>
          <w:t>5.</w:t>
        </w:r>
        <w:r w:rsidR="00166A15">
          <w:rPr>
            <w:rStyle w:val="Hypertextovodkaz"/>
            <w:noProof/>
          </w:rPr>
          <w:t>5</w:t>
        </w:r>
        <w:r w:rsidR="00166A15" w:rsidRPr="003B319D">
          <w:rPr>
            <w:rStyle w:val="Hypertextovodkaz"/>
            <w:noProof/>
          </w:rPr>
          <w:t>.</w:t>
        </w:r>
        <w:r w:rsidR="00166A15">
          <w:rPr>
            <w:rFonts w:eastAsiaTheme="minorEastAsia"/>
            <w:noProof/>
            <w:lang w:eastAsia="cs-CZ"/>
          </w:rPr>
          <w:tab/>
          <w:t>Technologie slaboproudu………………………………………………………………………………………………………..</w:t>
        </w:r>
        <w:r>
          <w:rPr>
            <w:noProof/>
            <w:webHidden/>
          </w:rPr>
          <w:fldChar w:fldCharType="begin"/>
        </w:r>
        <w:r w:rsidR="00166A15">
          <w:rPr>
            <w:noProof/>
            <w:webHidden/>
          </w:rPr>
          <w:instrText xml:space="preserve"> PAGEREF _Toc486422632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6A1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bookmarkStart w:id="1" w:name="_Hlk23497037"/>
    <w:p w:rsidR="00D0080A" w:rsidRDefault="00657FD9" w:rsidP="00B71F47">
      <w:pPr>
        <w:pStyle w:val="Obsah4"/>
        <w:tabs>
          <w:tab w:val="left" w:pos="880"/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r>
        <w:fldChar w:fldCharType="begin"/>
      </w:r>
      <w:r w:rsidR="0086384A">
        <w:instrText xml:space="preserve"> HYPERLINK \l "_Toc486422632" </w:instrText>
      </w:r>
      <w:r>
        <w:fldChar w:fldCharType="separate"/>
      </w:r>
      <w:r w:rsidR="00D0080A" w:rsidRPr="003B319D">
        <w:rPr>
          <w:rStyle w:val="Hypertextovodkaz"/>
          <w:noProof/>
        </w:rPr>
        <w:t>5.</w:t>
      </w:r>
      <w:r w:rsidR="00166A15">
        <w:rPr>
          <w:rStyle w:val="Hypertextovodkaz"/>
          <w:noProof/>
        </w:rPr>
        <w:t>6</w:t>
      </w:r>
      <w:r w:rsidR="00D0080A" w:rsidRPr="003B319D">
        <w:rPr>
          <w:rStyle w:val="Hypertextovodkaz"/>
          <w:noProof/>
        </w:rPr>
        <w:t>.</w:t>
      </w:r>
      <w:r w:rsidR="00D0080A">
        <w:rPr>
          <w:rFonts w:eastAsiaTheme="minorEastAsia"/>
          <w:noProof/>
          <w:lang w:eastAsia="cs-CZ"/>
        </w:rPr>
        <w:tab/>
      </w:r>
      <w:r w:rsidR="00D0080A" w:rsidRPr="003B319D">
        <w:rPr>
          <w:rStyle w:val="Hypertextovodkaz"/>
          <w:noProof/>
        </w:rPr>
        <w:t>Dokumentace skutečného stavu</w:t>
      </w:r>
      <w:r w:rsidR="00D0080A">
        <w:rPr>
          <w:noProof/>
          <w:webHidden/>
        </w:rPr>
        <w:tab/>
      </w:r>
      <w:r>
        <w:rPr>
          <w:noProof/>
          <w:webHidden/>
        </w:rPr>
        <w:fldChar w:fldCharType="begin"/>
      </w:r>
      <w:r w:rsidR="00D0080A">
        <w:rPr>
          <w:noProof/>
          <w:webHidden/>
        </w:rPr>
        <w:instrText xml:space="preserve"> PAGEREF _Toc486422632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 w:rsidR="00D306FD">
        <w:rPr>
          <w:noProof/>
          <w:webHidden/>
        </w:rPr>
        <w:t>4</w:t>
      </w:r>
      <w:r>
        <w:rPr>
          <w:noProof/>
          <w:webHidden/>
        </w:rPr>
        <w:fldChar w:fldCharType="end"/>
      </w:r>
      <w:r>
        <w:rPr>
          <w:noProof/>
        </w:rPr>
        <w:fldChar w:fldCharType="end"/>
      </w:r>
    </w:p>
    <w:bookmarkEnd w:id="1"/>
    <w:p w:rsidR="00D0080A" w:rsidRDefault="00657FD9" w:rsidP="00B71F47">
      <w:pPr>
        <w:pStyle w:val="Obsah3"/>
        <w:tabs>
          <w:tab w:val="right" w:leader="dot" w:pos="9062"/>
        </w:tabs>
        <w:spacing w:after="0" w:line="240" w:lineRule="auto"/>
        <w:rPr>
          <w:rFonts w:eastAsiaTheme="minorEastAsia"/>
          <w:noProof/>
          <w:lang w:eastAsia="cs-CZ"/>
        </w:rPr>
      </w:pPr>
      <w:r>
        <w:fldChar w:fldCharType="begin"/>
      </w:r>
      <w:r w:rsidR="0086384A">
        <w:instrText xml:space="preserve"> HYPERLINK \l "_Toc486422633" </w:instrText>
      </w:r>
      <w:r>
        <w:fldChar w:fldCharType="separate"/>
      </w:r>
      <w:r w:rsidR="00D0080A" w:rsidRPr="003B319D">
        <w:rPr>
          <w:rStyle w:val="Hypertextovodkaz"/>
          <w:noProof/>
        </w:rPr>
        <w:t>6.</w:t>
      </w:r>
      <w:r w:rsidR="00D0080A">
        <w:rPr>
          <w:rFonts w:eastAsiaTheme="minorEastAsia"/>
          <w:noProof/>
          <w:lang w:eastAsia="cs-CZ"/>
        </w:rPr>
        <w:tab/>
      </w:r>
      <w:r w:rsidR="00D0080A" w:rsidRPr="003B319D">
        <w:rPr>
          <w:rStyle w:val="Hypertextovodkaz"/>
          <w:noProof/>
        </w:rPr>
        <w:t>Závěr</w:t>
      </w:r>
      <w:r w:rsidR="00D0080A">
        <w:rPr>
          <w:noProof/>
          <w:webHidden/>
        </w:rPr>
        <w:tab/>
      </w:r>
      <w:r>
        <w:rPr>
          <w:noProof/>
          <w:webHidden/>
        </w:rPr>
        <w:fldChar w:fldCharType="begin"/>
      </w:r>
      <w:r w:rsidR="00D0080A">
        <w:rPr>
          <w:noProof/>
          <w:webHidden/>
        </w:rPr>
        <w:instrText xml:space="preserve"> PAGEREF _Toc486422633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 w:rsidR="00D306FD">
        <w:rPr>
          <w:noProof/>
          <w:webHidden/>
        </w:rPr>
        <w:t>4</w:t>
      </w:r>
      <w:r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793A9F" w:rsidRPr="0093143F" w:rsidRDefault="00657FD9" w:rsidP="00B71F47">
      <w:pPr>
        <w:spacing w:line="240" w:lineRule="auto"/>
        <w:ind w:left="567" w:hanging="567"/>
        <w:jc w:val="left"/>
      </w:pPr>
      <w:r>
        <w:fldChar w:fldCharType="end"/>
      </w:r>
    </w:p>
    <w:p w:rsidR="00037285" w:rsidRDefault="00037285">
      <w:pPr>
        <w:rPr>
          <w:rFonts w:asciiTheme="majorHAnsi" w:eastAsiaTheme="majorEastAsia" w:hAnsiTheme="majorHAnsi" w:cstheme="majorBidi"/>
          <w:b/>
          <w:bCs/>
        </w:rPr>
      </w:pPr>
      <w:bookmarkStart w:id="2" w:name="_Toc317748292"/>
      <w:bookmarkStart w:id="3" w:name="_Toc317748411"/>
    </w:p>
    <w:p w:rsidR="0093143F" w:rsidRPr="0093143F" w:rsidRDefault="0093143F" w:rsidP="004D7A96">
      <w:pPr>
        <w:pStyle w:val="Nadpis3"/>
        <w:numPr>
          <w:ilvl w:val="0"/>
          <w:numId w:val="1"/>
        </w:numPr>
        <w:spacing w:line="240" w:lineRule="auto"/>
        <w:ind w:left="0" w:firstLine="0"/>
        <w:rPr>
          <w:color w:val="auto"/>
        </w:rPr>
      </w:pPr>
      <w:bookmarkStart w:id="4" w:name="_Toc486422621"/>
      <w:r w:rsidRPr="0093143F">
        <w:rPr>
          <w:color w:val="auto"/>
        </w:rPr>
        <w:t>Předpokládané vnější vlivy</w:t>
      </w:r>
      <w:bookmarkEnd w:id="2"/>
      <w:bookmarkEnd w:id="3"/>
      <w:bookmarkEnd w:id="4"/>
    </w:p>
    <w:p w:rsidR="0093143F" w:rsidRPr="0093143F" w:rsidRDefault="0093143F" w:rsidP="004D7A96">
      <w:pPr>
        <w:pStyle w:val="Nadpis4"/>
        <w:numPr>
          <w:ilvl w:val="1"/>
          <w:numId w:val="1"/>
        </w:numPr>
        <w:spacing w:line="240" w:lineRule="auto"/>
        <w:ind w:left="0" w:firstLine="0"/>
        <w:rPr>
          <w:color w:val="auto"/>
        </w:rPr>
      </w:pPr>
      <w:bookmarkStart w:id="5" w:name="_Toc317748293"/>
      <w:bookmarkStart w:id="6" w:name="_Toc317748412"/>
      <w:bookmarkStart w:id="7" w:name="_Toc486422622"/>
      <w:r w:rsidRPr="0093143F">
        <w:rPr>
          <w:color w:val="auto"/>
        </w:rPr>
        <w:t>Vnitřní prostory</w:t>
      </w:r>
      <w:bookmarkEnd w:id="5"/>
      <w:bookmarkEnd w:id="6"/>
      <w:bookmarkEnd w:id="7"/>
    </w:p>
    <w:p w:rsidR="0093143F" w:rsidRPr="0093143F" w:rsidRDefault="0093143F" w:rsidP="004D7A96">
      <w:pPr>
        <w:spacing w:line="240" w:lineRule="auto"/>
        <w:ind w:left="0" w:firstLine="0"/>
        <w:rPr>
          <w:b/>
        </w:rPr>
      </w:pPr>
      <w:r w:rsidRPr="0093143F">
        <w:rPr>
          <w:b/>
        </w:rPr>
        <w:t>AA5, AC1, AD1, AE1, AF1, AK1, AL1, AN1, AR1, AS1, BA1, BC2, BD1, BE1, CA1, CB1</w:t>
      </w:r>
    </w:p>
    <w:p w:rsidR="0093143F" w:rsidRPr="0093143F" w:rsidRDefault="0093143F" w:rsidP="004D7A96">
      <w:pPr>
        <w:spacing w:line="240" w:lineRule="auto"/>
        <w:ind w:left="0" w:firstLine="0"/>
      </w:pPr>
      <w:r w:rsidRPr="0093143F">
        <w:t xml:space="preserve">Prostor </w:t>
      </w:r>
      <w:r w:rsidR="00B71F47">
        <w:t>n</w:t>
      </w:r>
      <w:r w:rsidRPr="0093143F">
        <w:t>ormální. Stupeň ochrany: ochrana normální.</w:t>
      </w:r>
    </w:p>
    <w:p w:rsidR="0093143F" w:rsidRPr="0093143F" w:rsidRDefault="0093143F" w:rsidP="004D7A96">
      <w:pPr>
        <w:spacing w:line="240" w:lineRule="auto"/>
        <w:ind w:left="0" w:firstLine="0"/>
      </w:pPr>
      <w:r w:rsidRPr="0093143F">
        <w:t>Doporučená revizní lhůta alespoň 5 let.</w:t>
      </w:r>
    </w:p>
    <w:p w:rsidR="0093143F" w:rsidRDefault="0093143F" w:rsidP="004D7A96">
      <w:pPr>
        <w:spacing w:line="240" w:lineRule="auto"/>
        <w:ind w:left="0" w:firstLine="0"/>
      </w:pPr>
      <w:r w:rsidRPr="0093143F">
        <w:t>Doporučený stupeň ochrany alespoň IP20.</w:t>
      </w:r>
    </w:p>
    <w:p w:rsidR="000F6BB2" w:rsidRPr="0093143F" w:rsidRDefault="000F6BB2" w:rsidP="004D7A96">
      <w:pPr>
        <w:spacing w:line="240" w:lineRule="auto"/>
        <w:ind w:left="0" w:firstLine="0"/>
      </w:pPr>
    </w:p>
    <w:p w:rsidR="0093143F" w:rsidRPr="0093143F" w:rsidRDefault="0093143F" w:rsidP="00346E99">
      <w:pPr>
        <w:pStyle w:val="Nadpis3"/>
        <w:numPr>
          <w:ilvl w:val="0"/>
          <w:numId w:val="1"/>
        </w:numPr>
        <w:spacing w:line="240" w:lineRule="auto"/>
        <w:ind w:left="0" w:firstLine="0"/>
        <w:rPr>
          <w:color w:val="auto"/>
        </w:rPr>
      </w:pPr>
      <w:bookmarkStart w:id="8" w:name="_Toc317748295"/>
      <w:bookmarkStart w:id="9" w:name="_Toc317748414"/>
      <w:bookmarkStart w:id="10" w:name="_Toc486422623"/>
      <w:r w:rsidRPr="0093143F">
        <w:rPr>
          <w:color w:val="auto"/>
        </w:rPr>
        <w:t>Napájecí Soustava</w:t>
      </w:r>
      <w:bookmarkEnd w:id="8"/>
      <w:bookmarkEnd w:id="9"/>
      <w:bookmarkEnd w:id="10"/>
    </w:p>
    <w:p w:rsidR="0093143F" w:rsidRPr="0093143F" w:rsidRDefault="0093143F" w:rsidP="004D7A96">
      <w:pPr>
        <w:spacing w:line="240" w:lineRule="auto"/>
        <w:ind w:left="0" w:firstLine="0"/>
      </w:pPr>
      <w:r w:rsidRPr="0093143F">
        <w:t>Napájecí napěťová soustava TN-C, v podružných rozvaděčích TN-C-S, koncové rozvody TN-S.</w:t>
      </w:r>
    </w:p>
    <w:p w:rsidR="0093143F" w:rsidRPr="0093143F" w:rsidRDefault="0093143F" w:rsidP="004D7A96">
      <w:pPr>
        <w:spacing w:line="240" w:lineRule="auto"/>
        <w:ind w:left="0" w:firstLine="0"/>
      </w:pPr>
      <w:r w:rsidRPr="0093143F">
        <w:t xml:space="preserve">Napěťová hladina: </w:t>
      </w:r>
      <w:r w:rsidR="00335BF7" w:rsidRPr="0093143F">
        <w:t>230</w:t>
      </w:r>
      <w:r w:rsidRPr="0093143F">
        <w:t>/</w:t>
      </w:r>
      <w:r w:rsidR="00335BF7">
        <w:t>40</w:t>
      </w:r>
      <w:r w:rsidRPr="0093143F">
        <w:t>0 V, 50 Hz</w:t>
      </w:r>
    </w:p>
    <w:p w:rsidR="0093143F" w:rsidRPr="0093143F" w:rsidRDefault="0093143F" w:rsidP="00346E99">
      <w:pPr>
        <w:pStyle w:val="Nadpis3"/>
        <w:numPr>
          <w:ilvl w:val="0"/>
          <w:numId w:val="1"/>
        </w:numPr>
        <w:spacing w:line="240" w:lineRule="auto"/>
        <w:ind w:left="0" w:firstLine="0"/>
        <w:rPr>
          <w:color w:val="auto"/>
        </w:rPr>
      </w:pPr>
      <w:bookmarkStart w:id="11" w:name="_Toc317748296"/>
      <w:bookmarkStart w:id="12" w:name="_Toc317748415"/>
      <w:bookmarkStart w:id="13" w:name="_Toc486422624"/>
      <w:r w:rsidRPr="0093143F">
        <w:rPr>
          <w:color w:val="auto"/>
        </w:rPr>
        <w:t>Energetická bilance objektu</w:t>
      </w:r>
      <w:bookmarkEnd w:id="11"/>
      <w:bookmarkEnd w:id="12"/>
      <w:r w:rsidRPr="0093143F">
        <w:rPr>
          <w:color w:val="auto"/>
        </w:rPr>
        <w:t xml:space="preserve"> </w:t>
      </w:r>
      <w:r w:rsidR="000C20DF">
        <w:rPr>
          <w:color w:val="auto"/>
        </w:rPr>
        <w:t>a měření</w:t>
      </w:r>
      <w:bookmarkEnd w:id="13"/>
      <w:r w:rsidRPr="0093143F">
        <w:rPr>
          <w:color w:val="auto"/>
        </w:rPr>
        <w:t xml:space="preserve"> </w:t>
      </w:r>
    </w:p>
    <w:p w:rsidR="0093143F" w:rsidRDefault="0093143F" w:rsidP="004D7A96">
      <w:pPr>
        <w:spacing w:line="240" w:lineRule="auto"/>
        <w:ind w:left="0" w:firstLine="0"/>
      </w:pPr>
    </w:p>
    <w:p w:rsidR="001445FA" w:rsidRPr="0055214D" w:rsidRDefault="001445FA" w:rsidP="0055214D">
      <w:pPr>
        <w:tabs>
          <w:tab w:val="right" w:pos="5102"/>
          <w:tab w:val="right" w:pos="6236"/>
          <w:tab w:val="right" w:pos="7370"/>
          <w:tab w:val="right" w:pos="8504"/>
          <w:tab w:val="right" w:pos="9071"/>
        </w:tabs>
        <w:spacing w:line="240" w:lineRule="auto"/>
        <w:ind w:left="0" w:firstLine="0"/>
      </w:pPr>
    </w:p>
    <w:p w:rsidR="0055214D" w:rsidRDefault="0055214D" w:rsidP="0055214D">
      <w:pPr>
        <w:tabs>
          <w:tab w:val="right" w:pos="5102"/>
          <w:tab w:val="right" w:pos="6236"/>
          <w:tab w:val="right" w:pos="7370"/>
          <w:tab w:val="right" w:pos="8504"/>
          <w:tab w:val="right" w:pos="9071"/>
        </w:tabs>
        <w:spacing w:line="240" w:lineRule="auto"/>
        <w:ind w:left="0" w:firstLine="0"/>
        <w:rPr>
          <w:vertAlign w:val="subscript"/>
        </w:rPr>
      </w:pPr>
      <w:r>
        <w:t xml:space="preserve">Druh spotřeby </w:t>
      </w:r>
      <w:r>
        <w:tab/>
        <w:t>P</w:t>
      </w:r>
      <w:r w:rsidRPr="0055214D">
        <w:rPr>
          <w:vertAlign w:val="subscript"/>
        </w:rPr>
        <w:t>I</w:t>
      </w:r>
      <w:r w:rsidRPr="0055214D">
        <w:tab/>
        <w:t>β</w:t>
      </w:r>
      <w:r w:rsidRPr="0055214D">
        <w:tab/>
        <w:t>Cos φ</w:t>
      </w:r>
      <w:r w:rsidRPr="0055214D">
        <w:tab/>
        <w:t>P</w:t>
      </w:r>
      <w:r w:rsidRPr="0055214D">
        <w:rPr>
          <w:vertAlign w:val="subscript"/>
        </w:rPr>
        <w:t>S</w:t>
      </w:r>
    </w:p>
    <w:p w:rsidR="0055214D" w:rsidRDefault="0055214D" w:rsidP="0055214D">
      <w:pPr>
        <w:tabs>
          <w:tab w:val="right" w:pos="5102"/>
          <w:tab w:val="right" w:pos="6236"/>
          <w:tab w:val="right" w:pos="7370"/>
          <w:tab w:val="right" w:pos="8504"/>
          <w:tab w:val="right" w:pos="9071"/>
        </w:tabs>
        <w:spacing w:line="240" w:lineRule="auto"/>
        <w:ind w:left="0" w:firstLine="0"/>
      </w:pPr>
      <w:r>
        <w:t>Osvětlení</w:t>
      </w:r>
      <w:bookmarkStart w:id="14" w:name="psD3D0_pi1"/>
      <w:r>
        <w:tab/>
        <w:t xml:space="preserve"> 2,5 </w:t>
      </w:r>
      <w:bookmarkEnd w:id="14"/>
      <w:r>
        <w:t>kW</w:t>
      </w:r>
      <w:r>
        <w:tab/>
      </w:r>
      <w:bookmarkStart w:id="15" w:name="psD3D0_b1"/>
      <w:r>
        <w:t xml:space="preserve"> 0,70 </w:t>
      </w:r>
      <w:bookmarkEnd w:id="15"/>
      <w:r>
        <w:tab/>
      </w:r>
      <w:bookmarkStart w:id="16" w:name="psD3D0_cf1"/>
      <w:r>
        <w:t xml:space="preserve">  0,9</w:t>
      </w:r>
      <w:r w:rsidR="00906004">
        <w:t>5</w:t>
      </w:r>
      <w:r>
        <w:t xml:space="preserve"> </w:t>
      </w:r>
      <w:bookmarkEnd w:id="16"/>
      <w:r>
        <w:tab/>
      </w:r>
      <w:bookmarkStart w:id="17" w:name="psD3D0_ps1"/>
      <w:r>
        <w:t xml:space="preserve"> </w:t>
      </w:r>
      <w:r w:rsidR="00657FD9">
        <w:fldChar w:fldCharType="begin"/>
      </w:r>
      <w:r>
        <w:instrText xml:space="preserve"> =psD3D0_pi1*psD3D0_b1 \# "# ##0,0" </w:instrText>
      </w:r>
      <w:r w:rsidR="00657FD9">
        <w:fldChar w:fldCharType="separate"/>
      </w:r>
      <w:r w:rsidR="00906004">
        <w:rPr>
          <w:noProof/>
        </w:rPr>
        <w:t xml:space="preserve">   1,8</w:t>
      </w:r>
      <w:r w:rsidR="00657FD9">
        <w:fldChar w:fldCharType="end"/>
      </w:r>
      <w:bookmarkEnd w:id="17"/>
      <w:r>
        <w:t xml:space="preserve"> kW</w:t>
      </w:r>
    </w:p>
    <w:p w:rsidR="0055214D" w:rsidRDefault="0055214D" w:rsidP="0055214D">
      <w:pPr>
        <w:tabs>
          <w:tab w:val="right" w:pos="5102"/>
          <w:tab w:val="right" w:pos="6236"/>
          <w:tab w:val="right" w:pos="7370"/>
          <w:tab w:val="right" w:pos="8504"/>
          <w:tab w:val="right" w:pos="9071"/>
        </w:tabs>
        <w:spacing w:line="240" w:lineRule="auto"/>
        <w:ind w:left="0" w:firstLine="0"/>
      </w:pPr>
      <w:r>
        <w:t>Zásuvky</w:t>
      </w:r>
      <w:bookmarkStart w:id="18" w:name="psD3D0_pi2"/>
      <w:r>
        <w:tab/>
        <w:t xml:space="preserve"> </w:t>
      </w:r>
      <w:r w:rsidR="00906004">
        <w:t>24</w:t>
      </w:r>
      <w:r>
        <w:t xml:space="preserve">,0 </w:t>
      </w:r>
      <w:bookmarkEnd w:id="18"/>
      <w:r>
        <w:t>kW</w:t>
      </w:r>
      <w:r>
        <w:tab/>
      </w:r>
      <w:bookmarkStart w:id="19" w:name="psD3D0_b2"/>
      <w:r>
        <w:t xml:space="preserve"> 0,</w:t>
      </w:r>
      <w:r w:rsidR="00906004">
        <w:t>25</w:t>
      </w:r>
      <w:r>
        <w:t xml:space="preserve"> </w:t>
      </w:r>
      <w:bookmarkEnd w:id="19"/>
      <w:r>
        <w:tab/>
      </w:r>
      <w:bookmarkStart w:id="20" w:name="psD3D0_cf2"/>
      <w:r>
        <w:t xml:space="preserve">  0,</w:t>
      </w:r>
      <w:r w:rsidR="00906004">
        <w:t>95</w:t>
      </w:r>
      <w:r>
        <w:t xml:space="preserve"> </w:t>
      </w:r>
      <w:bookmarkEnd w:id="20"/>
      <w:r>
        <w:tab/>
      </w:r>
      <w:bookmarkStart w:id="21" w:name="psD3D0_ps2"/>
      <w:r>
        <w:t xml:space="preserve"> </w:t>
      </w:r>
      <w:r w:rsidR="00657FD9">
        <w:fldChar w:fldCharType="begin"/>
      </w:r>
      <w:r>
        <w:instrText xml:space="preserve"> =psD3D0_pi2*psD3D0_b2 \# "# ##0,0" </w:instrText>
      </w:r>
      <w:r w:rsidR="00657FD9">
        <w:fldChar w:fldCharType="separate"/>
      </w:r>
      <w:r w:rsidR="00906004">
        <w:rPr>
          <w:noProof/>
        </w:rPr>
        <w:t xml:space="preserve">   6,0</w:t>
      </w:r>
      <w:r w:rsidR="00657FD9">
        <w:fldChar w:fldCharType="end"/>
      </w:r>
      <w:bookmarkEnd w:id="21"/>
      <w:r>
        <w:t xml:space="preserve"> kW</w:t>
      </w:r>
    </w:p>
    <w:p w:rsidR="0055214D" w:rsidRDefault="0055214D" w:rsidP="0055214D">
      <w:pPr>
        <w:tabs>
          <w:tab w:val="right" w:pos="5102"/>
          <w:tab w:val="right" w:pos="6236"/>
          <w:tab w:val="right" w:pos="7370"/>
          <w:tab w:val="right" w:pos="8504"/>
          <w:tab w:val="right" w:pos="9071"/>
        </w:tabs>
        <w:spacing w:line="240" w:lineRule="auto"/>
        <w:ind w:left="0" w:firstLine="0"/>
      </w:pPr>
      <w:r>
        <w:t>Technologie slabo</w:t>
      </w:r>
      <w:bookmarkStart w:id="22" w:name="psD3D0_pi3"/>
      <w:r>
        <w:tab/>
        <w:t xml:space="preserve"> 2,0 </w:t>
      </w:r>
      <w:bookmarkEnd w:id="22"/>
      <w:r>
        <w:t>kW</w:t>
      </w:r>
      <w:r>
        <w:tab/>
      </w:r>
      <w:bookmarkStart w:id="23" w:name="psD3D0_b3"/>
      <w:r>
        <w:t xml:space="preserve"> 0,</w:t>
      </w:r>
      <w:r w:rsidR="00906004">
        <w:t>30</w:t>
      </w:r>
      <w:r>
        <w:t xml:space="preserve"> </w:t>
      </w:r>
      <w:bookmarkEnd w:id="23"/>
      <w:r>
        <w:tab/>
      </w:r>
      <w:bookmarkStart w:id="24" w:name="psD3D0_cf3"/>
      <w:r>
        <w:t xml:space="preserve">  0,9</w:t>
      </w:r>
      <w:r w:rsidR="00906004">
        <w:t>5</w:t>
      </w:r>
      <w:r>
        <w:t xml:space="preserve"> </w:t>
      </w:r>
      <w:bookmarkEnd w:id="24"/>
      <w:r>
        <w:tab/>
      </w:r>
      <w:bookmarkStart w:id="25" w:name="psD3D0_ps3"/>
      <w:r>
        <w:t xml:space="preserve"> </w:t>
      </w:r>
      <w:r w:rsidR="00657FD9">
        <w:fldChar w:fldCharType="begin"/>
      </w:r>
      <w:r>
        <w:instrText xml:space="preserve"> =psD3D0_pi3*psD3D0_b3 \# "# ##0,0" </w:instrText>
      </w:r>
      <w:r w:rsidR="00657FD9">
        <w:fldChar w:fldCharType="separate"/>
      </w:r>
      <w:r w:rsidR="00906004">
        <w:rPr>
          <w:noProof/>
        </w:rPr>
        <w:t xml:space="preserve">   0,6</w:t>
      </w:r>
      <w:r w:rsidR="00657FD9">
        <w:fldChar w:fldCharType="end"/>
      </w:r>
      <w:bookmarkEnd w:id="25"/>
      <w:r>
        <w:t xml:space="preserve"> kW</w:t>
      </w:r>
    </w:p>
    <w:p w:rsidR="0055214D" w:rsidRDefault="0055214D" w:rsidP="0055214D">
      <w:pPr>
        <w:tabs>
          <w:tab w:val="right" w:pos="5102"/>
          <w:tab w:val="right" w:pos="6236"/>
          <w:tab w:val="right" w:pos="7370"/>
          <w:tab w:val="right" w:pos="8504"/>
          <w:tab w:val="right" w:pos="9071"/>
        </w:tabs>
        <w:spacing w:line="240" w:lineRule="auto"/>
        <w:ind w:left="0" w:firstLine="0"/>
      </w:pPr>
      <w:r>
        <w:t>Technologie</w:t>
      </w:r>
      <w:bookmarkStart w:id="26" w:name="psD3D0_pi4"/>
      <w:r>
        <w:tab/>
        <w:t xml:space="preserve"> 11,0 </w:t>
      </w:r>
      <w:bookmarkEnd w:id="26"/>
      <w:r>
        <w:t>kW</w:t>
      </w:r>
      <w:r>
        <w:tab/>
      </w:r>
      <w:bookmarkStart w:id="27" w:name="psD3D0_b4"/>
      <w:r>
        <w:t xml:space="preserve"> 0,</w:t>
      </w:r>
      <w:r w:rsidR="00906004">
        <w:t>3</w:t>
      </w:r>
      <w:r>
        <w:t xml:space="preserve">0 </w:t>
      </w:r>
      <w:bookmarkEnd w:id="27"/>
      <w:r>
        <w:tab/>
      </w:r>
      <w:bookmarkStart w:id="28" w:name="psD3D0_cf4"/>
      <w:r>
        <w:t xml:space="preserve">  0,</w:t>
      </w:r>
      <w:r w:rsidR="00906004">
        <w:t>95</w:t>
      </w:r>
      <w:r>
        <w:t xml:space="preserve"> </w:t>
      </w:r>
      <w:bookmarkEnd w:id="28"/>
      <w:r>
        <w:tab/>
      </w:r>
      <w:bookmarkStart w:id="29" w:name="psD3D0_ps4"/>
      <w:r>
        <w:t xml:space="preserve"> </w:t>
      </w:r>
      <w:r w:rsidR="00657FD9">
        <w:fldChar w:fldCharType="begin"/>
      </w:r>
      <w:r>
        <w:instrText xml:space="preserve"> =psD3D0_pi4*psD3D0_b4 \# "# ##0,0" </w:instrText>
      </w:r>
      <w:r w:rsidR="00657FD9">
        <w:fldChar w:fldCharType="separate"/>
      </w:r>
      <w:r w:rsidR="00906004">
        <w:rPr>
          <w:noProof/>
        </w:rPr>
        <w:t xml:space="preserve">   3,3</w:t>
      </w:r>
      <w:r w:rsidR="00657FD9">
        <w:fldChar w:fldCharType="end"/>
      </w:r>
      <w:bookmarkEnd w:id="29"/>
      <w:r>
        <w:t xml:space="preserve"> kW</w:t>
      </w:r>
    </w:p>
    <w:p w:rsidR="0055214D" w:rsidRPr="0055214D" w:rsidRDefault="0055214D" w:rsidP="0055214D">
      <w:pPr>
        <w:tabs>
          <w:tab w:val="right" w:pos="5102"/>
          <w:tab w:val="right" w:pos="6236"/>
          <w:tab w:val="right" w:pos="7370"/>
          <w:tab w:val="right" w:pos="8504"/>
          <w:tab w:val="right" w:pos="9071"/>
        </w:tabs>
        <w:spacing w:line="240" w:lineRule="auto"/>
        <w:ind w:left="0" w:firstLine="0"/>
        <w:rPr>
          <w:u w:val="single"/>
        </w:rPr>
      </w:pPr>
      <w:r w:rsidRPr="0055214D">
        <w:rPr>
          <w:u w:val="single"/>
        </w:rPr>
        <w:t>Tepelné spotřebiče</w:t>
      </w:r>
      <w:bookmarkStart w:id="30" w:name="psD3D0_pi5"/>
      <w:r w:rsidRPr="0055214D">
        <w:rPr>
          <w:u w:val="single"/>
        </w:rPr>
        <w:tab/>
        <w:t xml:space="preserve"> 19,0 </w:t>
      </w:r>
      <w:bookmarkEnd w:id="30"/>
      <w:r w:rsidRPr="0055214D">
        <w:rPr>
          <w:u w:val="single"/>
        </w:rPr>
        <w:t>kW</w:t>
      </w:r>
      <w:r w:rsidRPr="0055214D">
        <w:rPr>
          <w:u w:val="single"/>
        </w:rPr>
        <w:tab/>
      </w:r>
      <w:bookmarkStart w:id="31" w:name="psD3D0_b5"/>
      <w:r w:rsidRPr="0055214D">
        <w:rPr>
          <w:u w:val="single"/>
        </w:rPr>
        <w:t xml:space="preserve"> 0,</w:t>
      </w:r>
      <w:r w:rsidR="00906004">
        <w:rPr>
          <w:u w:val="single"/>
        </w:rPr>
        <w:t>25</w:t>
      </w:r>
      <w:r w:rsidRPr="0055214D">
        <w:rPr>
          <w:u w:val="single"/>
        </w:rPr>
        <w:t xml:space="preserve"> </w:t>
      </w:r>
      <w:bookmarkEnd w:id="31"/>
      <w:r w:rsidRPr="0055214D">
        <w:rPr>
          <w:u w:val="single"/>
        </w:rPr>
        <w:tab/>
      </w:r>
      <w:bookmarkStart w:id="32" w:name="psD3D0_cf5"/>
      <w:r w:rsidRPr="0055214D">
        <w:rPr>
          <w:u w:val="single"/>
        </w:rPr>
        <w:t xml:space="preserve">  1,00 </w:t>
      </w:r>
      <w:bookmarkEnd w:id="32"/>
      <w:r w:rsidRPr="0055214D">
        <w:rPr>
          <w:u w:val="single"/>
        </w:rPr>
        <w:tab/>
      </w:r>
      <w:bookmarkStart w:id="33" w:name="psD3D0_ps5"/>
      <w:r w:rsidRPr="0055214D">
        <w:rPr>
          <w:u w:val="single"/>
        </w:rPr>
        <w:t xml:space="preserve"> </w:t>
      </w:r>
      <w:r w:rsidR="00657FD9" w:rsidRPr="0055214D">
        <w:rPr>
          <w:u w:val="single"/>
        </w:rPr>
        <w:fldChar w:fldCharType="begin"/>
      </w:r>
      <w:r w:rsidRPr="0055214D">
        <w:rPr>
          <w:u w:val="single"/>
        </w:rPr>
        <w:instrText xml:space="preserve"> =psD3D0_pi5*psD3D0_b5 \# "# ##0,0" </w:instrText>
      </w:r>
      <w:r w:rsidR="00657FD9" w:rsidRPr="0055214D">
        <w:rPr>
          <w:u w:val="single"/>
        </w:rPr>
        <w:fldChar w:fldCharType="separate"/>
      </w:r>
      <w:r w:rsidR="00906004">
        <w:rPr>
          <w:noProof/>
          <w:u w:val="single"/>
        </w:rPr>
        <w:t xml:space="preserve">   4,8</w:t>
      </w:r>
      <w:r w:rsidR="00657FD9" w:rsidRPr="0055214D">
        <w:rPr>
          <w:u w:val="single"/>
        </w:rPr>
        <w:fldChar w:fldCharType="end"/>
      </w:r>
      <w:bookmarkEnd w:id="33"/>
      <w:r w:rsidRPr="0055214D">
        <w:rPr>
          <w:u w:val="single"/>
        </w:rPr>
        <w:t xml:space="preserve"> kW</w:t>
      </w:r>
    </w:p>
    <w:p w:rsidR="0055214D" w:rsidRDefault="0055214D" w:rsidP="0055214D">
      <w:pPr>
        <w:tabs>
          <w:tab w:val="right" w:pos="5102"/>
          <w:tab w:val="right" w:pos="6236"/>
          <w:tab w:val="right" w:pos="7370"/>
          <w:tab w:val="right" w:pos="8504"/>
          <w:tab w:val="right" w:pos="9071"/>
        </w:tabs>
        <w:spacing w:line="240" w:lineRule="auto"/>
        <w:ind w:left="0" w:firstLine="0"/>
      </w:pPr>
      <w:r>
        <w:tab/>
        <w:t xml:space="preserve"> </w:t>
      </w:r>
      <w:r w:rsidR="00657FD9">
        <w:fldChar w:fldCharType="begin"/>
      </w:r>
      <w:r>
        <w:instrText xml:space="preserve"> =psD3D0_pi1+psD3D0_pi2+psD3D0_pi3+psD3D0_pi4+psD3D0_pi5 \# "# ##0,0" </w:instrText>
      </w:r>
      <w:r w:rsidR="00657FD9">
        <w:fldChar w:fldCharType="separate"/>
      </w:r>
      <w:r w:rsidR="00906004">
        <w:rPr>
          <w:noProof/>
        </w:rPr>
        <w:t xml:space="preserve">  58,5</w:t>
      </w:r>
      <w:r w:rsidR="00657FD9">
        <w:fldChar w:fldCharType="end"/>
      </w:r>
      <w:r>
        <w:t xml:space="preserve"> kW</w:t>
      </w:r>
      <w:r>
        <w:tab/>
        <w:t xml:space="preserve"> </w:t>
      </w:r>
      <w:r>
        <w:tab/>
        <w:t xml:space="preserve"> </w:t>
      </w:r>
      <w:r>
        <w:tab/>
      </w:r>
      <w:bookmarkStart w:id="34" w:name="psD3D0_PI"/>
      <w:r>
        <w:t xml:space="preserve"> </w:t>
      </w:r>
      <w:r w:rsidR="00657FD9">
        <w:fldChar w:fldCharType="begin"/>
      </w:r>
      <w:r>
        <w:instrText xml:space="preserve"> =psD3D0_ps1+psD3D0_ps2+psD3D0_ps3+psD3D0_ps4+psD3D0_ps5 \# "# ##0,0" </w:instrText>
      </w:r>
      <w:r w:rsidR="00657FD9">
        <w:fldChar w:fldCharType="separate"/>
      </w:r>
      <w:r w:rsidR="00906004">
        <w:rPr>
          <w:noProof/>
        </w:rPr>
        <w:t xml:space="preserve">  16,5</w:t>
      </w:r>
      <w:r w:rsidR="00657FD9">
        <w:fldChar w:fldCharType="end"/>
      </w:r>
      <w:bookmarkEnd w:id="34"/>
      <w:r>
        <w:t xml:space="preserve"> kW</w:t>
      </w:r>
    </w:p>
    <w:p w:rsidR="0055214D" w:rsidRDefault="0055214D" w:rsidP="0055214D">
      <w:pPr>
        <w:tabs>
          <w:tab w:val="right" w:pos="5102"/>
          <w:tab w:val="right" w:pos="6803"/>
          <w:tab w:val="right" w:pos="8504"/>
        </w:tabs>
        <w:spacing w:line="240" w:lineRule="auto"/>
        <w:ind w:left="0" w:firstLine="0"/>
      </w:pPr>
      <w:r>
        <w:t xml:space="preserve"> </w:t>
      </w:r>
    </w:p>
    <w:p w:rsidR="0055214D" w:rsidRDefault="0055214D" w:rsidP="0055214D">
      <w:pPr>
        <w:tabs>
          <w:tab w:val="right" w:pos="5102"/>
          <w:tab w:val="right" w:pos="6803"/>
          <w:tab w:val="right" w:pos="8504"/>
        </w:tabs>
        <w:spacing w:line="240" w:lineRule="auto"/>
        <w:ind w:left="0" w:firstLine="0"/>
      </w:pPr>
      <w:r>
        <w:t xml:space="preserve">Spotřeba elektrické energie: </w:t>
      </w:r>
      <w:r>
        <w:tab/>
        <w:t xml:space="preserve">denní  </w:t>
      </w:r>
      <w:r>
        <w:tab/>
        <w:t xml:space="preserve">pondělí – pátek </w:t>
      </w:r>
      <w:bookmarkStart w:id="35" w:name="psD3D0_SPoPa"/>
      <w:r>
        <w:tab/>
      </w:r>
      <w:r w:rsidR="00657FD9">
        <w:fldChar w:fldCharType="begin"/>
      </w:r>
      <w:r>
        <w:instrText xml:space="preserve"> =psD3D0_PI*5,30 \# "# ##0,0" </w:instrText>
      </w:r>
      <w:r w:rsidR="00657FD9">
        <w:fldChar w:fldCharType="separate"/>
      </w:r>
      <w:r w:rsidR="00906004">
        <w:rPr>
          <w:noProof/>
        </w:rPr>
        <w:t xml:space="preserve">  87,5</w:t>
      </w:r>
      <w:r w:rsidR="00657FD9">
        <w:fldChar w:fldCharType="end"/>
      </w:r>
      <w:bookmarkEnd w:id="35"/>
      <w:r>
        <w:t xml:space="preserve"> kWh</w:t>
      </w:r>
    </w:p>
    <w:p w:rsidR="0055214D" w:rsidRDefault="0055214D" w:rsidP="0055214D">
      <w:pPr>
        <w:tabs>
          <w:tab w:val="right" w:pos="5102"/>
          <w:tab w:val="right" w:pos="6803"/>
          <w:tab w:val="right" w:pos="8504"/>
        </w:tabs>
        <w:spacing w:line="240" w:lineRule="auto"/>
        <w:ind w:left="0" w:firstLine="0"/>
      </w:pPr>
      <w:r>
        <w:t xml:space="preserve"> </w:t>
      </w:r>
      <w:r>
        <w:tab/>
        <w:t xml:space="preserve"> </w:t>
      </w:r>
      <w:r>
        <w:tab/>
        <w:t>sobota a neděle</w:t>
      </w:r>
      <w:bookmarkStart w:id="36" w:name="psD3D0_SSoNe"/>
      <w:r>
        <w:tab/>
      </w:r>
      <w:r w:rsidR="00657FD9">
        <w:fldChar w:fldCharType="begin"/>
      </w:r>
      <w:r>
        <w:instrText xml:space="preserve"> =psD3D0_PI*1,5 \# "# ##0,0" </w:instrText>
      </w:r>
      <w:r w:rsidR="00657FD9">
        <w:fldChar w:fldCharType="separate"/>
      </w:r>
      <w:r w:rsidR="00906004">
        <w:rPr>
          <w:noProof/>
        </w:rPr>
        <w:t xml:space="preserve">  24,8</w:t>
      </w:r>
      <w:r w:rsidR="00657FD9">
        <w:fldChar w:fldCharType="end"/>
      </w:r>
      <w:bookmarkEnd w:id="36"/>
      <w:r>
        <w:t xml:space="preserve"> kWh</w:t>
      </w:r>
    </w:p>
    <w:p w:rsidR="0055214D" w:rsidRDefault="0055214D" w:rsidP="0055214D">
      <w:pPr>
        <w:tabs>
          <w:tab w:val="right" w:pos="5102"/>
          <w:tab w:val="right" w:pos="6803"/>
          <w:tab w:val="right" w:pos="8504"/>
        </w:tabs>
        <w:spacing w:line="240" w:lineRule="auto"/>
        <w:ind w:left="0" w:firstLine="0"/>
      </w:pPr>
      <w:r>
        <w:t xml:space="preserve"> </w:t>
      </w:r>
      <w:r>
        <w:tab/>
        <w:t xml:space="preserve"> týdenní</w:t>
      </w:r>
      <w:r>
        <w:tab/>
      </w:r>
      <w:r>
        <w:tab/>
        <w:t xml:space="preserve"> </w:t>
      </w:r>
      <w:r w:rsidR="00657FD9">
        <w:fldChar w:fldCharType="begin"/>
      </w:r>
      <w:r>
        <w:instrText xml:space="preserve"> =psD3D0_SPoPa*5+psD3D0_SSoNe*2 \# "# ##0,0" </w:instrText>
      </w:r>
      <w:r w:rsidR="00657FD9">
        <w:fldChar w:fldCharType="separate"/>
      </w:r>
      <w:r w:rsidR="00906004">
        <w:rPr>
          <w:noProof/>
        </w:rPr>
        <w:t xml:space="preserve"> 487,1</w:t>
      </w:r>
      <w:r w:rsidR="00657FD9">
        <w:fldChar w:fldCharType="end"/>
      </w:r>
      <w:r>
        <w:t xml:space="preserve"> kWh</w:t>
      </w:r>
    </w:p>
    <w:p w:rsidR="0055214D" w:rsidRDefault="0055214D" w:rsidP="0055214D">
      <w:pPr>
        <w:tabs>
          <w:tab w:val="right" w:pos="5102"/>
          <w:tab w:val="right" w:pos="6803"/>
          <w:tab w:val="right" w:pos="8504"/>
        </w:tabs>
        <w:spacing w:line="240" w:lineRule="auto"/>
        <w:ind w:left="0" w:firstLine="0"/>
      </w:pPr>
      <w:r>
        <w:t xml:space="preserve"> </w:t>
      </w:r>
      <w:r>
        <w:tab/>
        <w:t xml:space="preserve"> roční</w:t>
      </w:r>
      <w:r>
        <w:tab/>
      </w:r>
      <w:r>
        <w:tab/>
        <w:t xml:space="preserve"> </w:t>
      </w:r>
      <w:r w:rsidR="00657FD9">
        <w:fldChar w:fldCharType="begin"/>
      </w:r>
      <w:r>
        <w:instrText xml:space="preserve"> =(psD3D0_SPoPa*5+psD3D0_SSoNe*2)*52 \# "# ##0,0" </w:instrText>
      </w:r>
      <w:r w:rsidR="00657FD9">
        <w:fldChar w:fldCharType="separate"/>
      </w:r>
      <w:r w:rsidR="00906004">
        <w:rPr>
          <w:noProof/>
        </w:rPr>
        <w:t>25 329,2</w:t>
      </w:r>
      <w:r w:rsidR="00657FD9">
        <w:fldChar w:fldCharType="end"/>
      </w:r>
      <w:r>
        <w:t xml:space="preserve"> kWh</w:t>
      </w:r>
    </w:p>
    <w:p w:rsidR="0055214D" w:rsidRDefault="0055214D" w:rsidP="0055214D">
      <w:pPr>
        <w:tabs>
          <w:tab w:val="right" w:pos="5102"/>
          <w:tab w:val="right" w:pos="6236"/>
          <w:tab w:val="right" w:pos="7370"/>
          <w:tab w:val="right" w:pos="8504"/>
          <w:tab w:val="right" w:pos="9071"/>
        </w:tabs>
        <w:spacing w:line="240" w:lineRule="auto"/>
        <w:ind w:left="0" w:firstLine="0"/>
      </w:pPr>
    </w:p>
    <w:p w:rsidR="0055214D" w:rsidRDefault="0055214D" w:rsidP="0055214D">
      <w:pPr>
        <w:tabs>
          <w:tab w:val="right" w:pos="5102"/>
          <w:tab w:val="right" w:pos="6236"/>
          <w:tab w:val="right" w:pos="7370"/>
          <w:tab w:val="right" w:pos="8504"/>
          <w:tab w:val="right" w:pos="9071"/>
        </w:tabs>
        <w:spacing w:line="240" w:lineRule="auto"/>
        <w:ind w:left="0" w:firstLine="0"/>
      </w:pPr>
      <w:r>
        <w:t>Vypočtený proud In =</w:t>
      </w:r>
      <w:bookmarkStart w:id="37" w:name="psD3D0_In"/>
      <w:r>
        <w:t xml:space="preserve"> </w:t>
      </w:r>
      <w:r w:rsidR="00657FD9">
        <w:fldChar w:fldCharType="begin"/>
      </w:r>
      <w:r>
        <w:instrText xml:space="preserve"> =((psD3D0_ps1/psD3D0_cf1)+(psD3D0_ps2/psD3D0_cf2)+(psD3D0_ps3/psD3D0_cf3)+(psD3D0_ps4/psD3D0_cf4)+(psD3D0_ps5/psD3D0_cf5))/0,23/3 \# "# ##0,0" </w:instrText>
      </w:r>
      <w:r w:rsidR="00657FD9">
        <w:fldChar w:fldCharType="separate"/>
      </w:r>
      <w:r w:rsidR="00906004">
        <w:rPr>
          <w:noProof/>
        </w:rPr>
        <w:t xml:space="preserve">  24,8</w:t>
      </w:r>
      <w:r w:rsidR="00657FD9">
        <w:fldChar w:fldCharType="end"/>
      </w:r>
      <w:bookmarkEnd w:id="37"/>
      <w:r>
        <w:t> A. Jištění před elektroměrem jističem B 3×</w:t>
      </w:r>
      <w:r w:rsidR="00657FD9">
        <w:fldChar w:fldCharType="begin"/>
      </w:r>
      <w:r w:rsidR="00906004">
        <w:instrText xml:space="preserve"> =IF(psD3D0_In*1,25&lt;40;IF(psD3D0_In*1,25&lt;32;IF(psD3D0_In*1,25&lt;25;IF(psD3D0_In*1,25&lt;20;20;25);32);40);IF(psD3D0_In*1,25&lt;50;50;IF(psD3D0_In*1,25&lt;63;63;IF(psD3D0_In*1,25&lt;80;80;psD3D0_In*-1,25)))) \# "0" </w:instrText>
      </w:r>
      <w:r w:rsidR="00657FD9">
        <w:fldChar w:fldCharType="separate"/>
      </w:r>
      <w:r w:rsidR="00906004">
        <w:rPr>
          <w:noProof/>
        </w:rPr>
        <w:t>32</w:t>
      </w:r>
      <w:r w:rsidR="00657FD9">
        <w:fldChar w:fldCharType="end"/>
      </w:r>
      <w:r>
        <w:t xml:space="preserve"> A.</w:t>
      </w:r>
    </w:p>
    <w:p w:rsidR="000C20DF" w:rsidRPr="0093143F" w:rsidRDefault="000C20DF" w:rsidP="000C20DF">
      <w:pPr>
        <w:spacing w:line="240" w:lineRule="auto"/>
        <w:ind w:left="0" w:firstLine="0"/>
      </w:pPr>
      <w:r>
        <w:t>Celá instalace je prováděna v již měřené části.</w:t>
      </w:r>
    </w:p>
    <w:p w:rsidR="00902E69" w:rsidRDefault="00902E69" w:rsidP="00902E69">
      <w:pPr>
        <w:pStyle w:val="Nadpis3"/>
        <w:spacing w:line="240" w:lineRule="auto"/>
        <w:ind w:left="0" w:firstLine="0"/>
        <w:rPr>
          <w:color w:val="auto"/>
        </w:rPr>
      </w:pPr>
      <w:bookmarkStart w:id="38" w:name="_Toc486422625"/>
    </w:p>
    <w:p w:rsidR="0093143F" w:rsidRPr="00F02C10" w:rsidRDefault="000C20DF" w:rsidP="00346E99">
      <w:pPr>
        <w:pStyle w:val="Nadpis3"/>
        <w:numPr>
          <w:ilvl w:val="0"/>
          <w:numId w:val="1"/>
        </w:numPr>
        <w:spacing w:line="240" w:lineRule="auto"/>
        <w:ind w:left="0" w:firstLine="0"/>
        <w:rPr>
          <w:color w:val="auto"/>
        </w:rPr>
      </w:pPr>
      <w:r w:rsidRPr="00F02C10">
        <w:rPr>
          <w:color w:val="auto"/>
        </w:rPr>
        <w:t>Záměr</w:t>
      </w:r>
      <w:r w:rsidR="0093143F" w:rsidRPr="00F02C10">
        <w:rPr>
          <w:color w:val="auto"/>
        </w:rPr>
        <w:t xml:space="preserve"> </w:t>
      </w:r>
      <w:r w:rsidR="00F93889" w:rsidRPr="00F02C10">
        <w:rPr>
          <w:color w:val="auto"/>
        </w:rPr>
        <w:t>akce</w:t>
      </w:r>
      <w:bookmarkEnd w:id="38"/>
      <w:r w:rsidR="0093143F" w:rsidRPr="00F02C10">
        <w:rPr>
          <w:color w:val="auto"/>
        </w:rPr>
        <w:t xml:space="preserve"> </w:t>
      </w:r>
    </w:p>
    <w:p w:rsidR="00A75C96" w:rsidRPr="00F02C10" w:rsidRDefault="00684F68" w:rsidP="004D7A96">
      <w:pPr>
        <w:spacing w:line="240" w:lineRule="auto"/>
        <w:ind w:left="0" w:firstLine="0"/>
      </w:pPr>
      <w:r>
        <w:t>Ve stávajícím objektu bude provedena celková rekonstrukce interieru.</w:t>
      </w:r>
      <w:r w:rsidR="0089456A" w:rsidRPr="00F02C10">
        <w:t xml:space="preserve"> V rámci těchto stavebních prací </w:t>
      </w:r>
      <w:r w:rsidR="00A75C96" w:rsidRPr="00F02C10">
        <w:t>bude provedena kompletní rekonstrukce silnoproudé elektroinstalace.</w:t>
      </w:r>
    </w:p>
    <w:p w:rsidR="00A75C96" w:rsidRPr="00F02C10" w:rsidRDefault="00A75C96" w:rsidP="004D7A96">
      <w:pPr>
        <w:spacing w:line="240" w:lineRule="auto"/>
        <w:ind w:left="0" w:firstLine="0"/>
      </w:pPr>
      <w:r w:rsidRPr="00F02C10">
        <w:t>V rámci této rekonstrukce bude provedena výměna kabelů, svítidel, zásuvek a vypínačů v koordinaci s</w:t>
      </w:r>
      <w:r w:rsidR="001A0BF9" w:rsidRPr="00F02C10">
        <w:t> </w:t>
      </w:r>
      <w:r w:rsidRPr="00F02C10">
        <w:t>požadavky</w:t>
      </w:r>
      <w:r w:rsidR="001A0BF9" w:rsidRPr="00F02C10">
        <w:t xml:space="preserve"> na technologii a </w:t>
      </w:r>
      <w:r w:rsidRPr="00F02C10">
        <w:t>na slaboproudou instalaci. Bude instalován nový rozvaděč R</w:t>
      </w:r>
      <w:r w:rsidR="008C4440">
        <w:t>H</w:t>
      </w:r>
      <w:r w:rsidRPr="00F02C10">
        <w:t xml:space="preserve"> </w:t>
      </w:r>
    </w:p>
    <w:p w:rsidR="0093143F" w:rsidRPr="00F02C10" w:rsidRDefault="00A75C96" w:rsidP="004D7A96">
      <w:pPr>
        <w:spacing w:line="240" w:lineRule="auto"/>
        <w:ind w:left="0" w:firstLine="0"/>
      </w:pPr>
      <w:r w:rsidRPr="00F02C10">
        <w:t xml:space="preserve"> </w:t>
      </w:r>
      <w:r w:rsidR="00A0061A" w:rsidRPr="00F02C10">
        <w:t xml:space="preserve"> </w:t>
      </w:r>
    </w:p>
    <w:p w:rsidR="0093143F" w:rsidRPr="00F02C10" w:rsidRDefault="0093143F" w:rsidP="00346E99">
      <w:pPr>
        <w:pStyle w:val="Nadpis3"/>
        <w:numPr>
          <w:ilvl w:val="0"/>
          <w:numId w:val="1"/>
        </w:numPr>
        <w:spacing w:line="240" w:lineRule="auto"/>
        <w:ind w:left="0" w:firstLine="0"/>
        <w:rPr>
          <w:color w:val="auto"/>
        </w:rPr>
      </w:pPr>
      <w:bookmarkStart w:id="39" w:name="_Toc317748299"/>
      <w:bookmarkStart w:id="40" w:name="_Toc317748418"/>
      <w:bookmarkStart w:id="41" w:name="_Toc486422626"/>
      <w:r w:rsidRPr="00F02C10">
        <w:rPr>
          <w:color w:val="auto"/>
        </w:rPr>
        <w:t>Technické řešení</w:t>
      </w:r>
      <w:bookmarkEnd w:id="39"/>
      <w:bookmarkEnd w:id="40"/>
      <w:bookmarkEnd w:id="41"/>
      <w:r w:rsidR="00A77465" w:rsidRPr="00F02C10">
        <w:rPr>
          <w:color w:val="auto"/>
        </w:rPr>
        <w:t xml:space="preserve"> </w:t>
      </w:r>
    </w:p>
    <w:p w:rsidR="0042362F" w:rsidRPr="00F02C10" w:rsidRDefault="0042362F" w:rsidP="00346E99">
      <w:pPr>
        <w:pStyle w:val="Nadpis4"/>
        <w:numPr>
          <w:ilvl w:val="1"/>
          <w:numId w:val="1"/>
        </w:numPr>
        <w:spacing w:line="240" w:lineRule="auto"/>
        <w:ind w:left="0" w:firstLine="0"/>
        <w:rPr>
          <w:color w:val="auto"/>
        </w:rPr>
      </w:pPr>
      <w:bookmarkStart w:id="42" w:name="_Toc486422627"/>
      <w:r w:rsidRPr="00F02C10">
        <w:rPr>
          <w:color w:val="auto"/>
        </w:rPr>
        <w:t>Napájení</w:t>
      </w:r>
      <w:bookmarkEnd w:id="42"/>
    </w:p>
    <w:p w:rsidR="00543BE8" w:rsidRPr="00F02C10" w:rsidRDefault="00C627BD" w:rsidP="000C20DF">
      <w:pPr>
        <w:spacing w:line="240" w:lineRule="auto"/>
        <w:ind w:left="0" w:firstLine="0"/>
      </w:pPr>
      <w:r w:rsidRPr="00F02C10">
        <w:t xml:space="preserve">Napájení </w:t>
      </w:r>
      <w:r w:rsidR="006854E6" w:rsidRPr="00F02C10">
        <w:t xml:space="preserve">nového </w:t>
      </w:r>
      <w:r w:rsidR="00C93868" w:rsidRPr="00F02C10">
        <w:t xml:space="preserve">rozvaděče </w:t>
      </w:r>
      <w:r w:rsidR="001A1172" w:rsidRPr="00F02C10">
        <w:t>R</w:t>
      </w:r>
      <w:r w:rsidR="008C4440">
        <w:t>H</w:t>
      </w:r>
      <w:r w:rsidR="001A1172" w:rsidRPr="00F02C10">
        <w:t xml:space="preserve"> bude</w:t>
      </w:r>
      <w:r w:rsidR="00543BE8" w:rsidRPr="00F02C10">
        <w:t xml:space="preserve"> nově</w:t>
      </w:r>
      <w:r w:rsidR="001A1172" w:rsidRPr="00F02C10">
        <w:t xml:space="preserve"> řešeno ze stávajícího </w:t>
      </w:r>
      <w:r w:rsidR="00684F68">
        <w:t>přívodu do objektu M</w:t>
      </w:r>
      <w:r w:rsidR="00FA5703">
        <w:t xml:space="preserve">Š. </w:t>
      </w:r>
      <w:r w:rsidR="00543BE8" w:rsidRPr="00F02C10">
        <w:t>Z</w:t>
      </w:r>
      <w:r w:rsidR="00FA5703">
        <w:t xml:space="preserve"> nového </w:t>
      </w:r>
      <w:r w:rsidR="00543BE8" w:rsidRPr="00F02C10">
        <w:t>rozvaděče R</w:t>
      </w:r>
      <w:r w:rsidR="008C4440">
        <w:t>H</w:t>
      </w:r>
      <w:r w:rsidR="00543BE8" w:rsidRPr="00F02C10">
        <w:t xml:space="preserve"> bude napájena kompletně celá elektroinstalace</w:t>
      </w:r>
      <w:r w:rsidR="00FA5703">
        <w:t>.</w:t>
      </w:r>
      <w:r w:rsidR="008C4440">
        <w:t xml:space="preserve"> V rozvaděči RH bude umístěno fakturační měření školky</w:t>
      </w:r>
      <w:r w:rsidR="00303201">
        <w:t>. Elektroměr a hlavní jistič budou odděleny pevným krytem a zablombovány</w:t>
      </w:r>
    </w:p>
    <w:p w:rsidR="00D21E2D" w:rsidRPr="00F02C10" w:rsidRDefault="00543BE8" w:rsidP="004D7A96">
      <w:pPr>
        <w:pStyle w:val="Odstavecseseznamem"/>
        <w:spacing w:line="240" w:lineRule="auto"/>
        <w:ind w:left="0" w:firstLine="0"/>
      </w:pPr>
      <w:r w:rsidRPr="00F02C10">
        <w:t xml:space="preserve">Hlavní kabelové trasy z rozvaděče </w:t>
      </w:r>
      <w:r w:rsidR="000A487E" w:rsidRPr="00F02C10">
        <w:t>R</w:t>
      </w:r>
      <w:r w:rsidR="00E248B9">
        <w:t>H</w:t>
      </w:r>
      <w:r w:rsidR="000A487E" w:rsidRPr="00F02C10">
        <w:t xml:space="preserve"> </w:t>
      </w:r>
      <w:r w:rsidRPr="00F02C10">
        <w:t xml:space="preserve">budou vedeny </w:t>
      </w:r>
      <w:r w:rsidR="005C7B5C" w:rsidRPr="00F02C10">
        <w:t>v</w:t>
      </w:r>
      <w:r w:rsidR="00D21E2D" w:rsidRPr="00F02C10">
        <w:t> </w:t>
      </w:r>
      <w:r w:rsidR="005C7B5C" w:rsidRPr="00F02C10">
        <w:t>podlaze</w:t>
      </w:r>
      <w:r w:rsidR="00D21E2D" w:rsidRPr="00F02C10">
        <w:t xml:space="preserve"> a na</w:t>
      </w:r>
      <w:r w:rsidR="0089456A" w:rsidRPr="00F02C10">
        <w:t>d</w:t>
      </w:r>
      <w:r w:rsidR="00D21E2D" w:rsidRPr="00F02C10">
        <w:t xml:space="preserve"> </w:t>
      </w:r>
      <w:r w:rsidR="00D21E2D" w:rsidRPr="0044199D">
        <w:t>podhledy.</w:t>
      </w:r>
      <w:r w:rsidR="00405DBD" w:rsidRPr="00F02C10">
        <w:t xml:space="preserve"> </w:t>
      </w:r>
    </w:p>
    <w:p w:rsidR="0046347A" w:rsidRPr="00F02C10" w:rsidRDefault="0046347A" w:rsidP="0046347A">
      <w:pPr>
        <w:pStyle w:val="Odstavecseseznamem"/>
        <w:spacing w:line="240" w:lineRule="auto"/>
        <w:ind w:left="0" w:firstLine="0"/>
      </w:pPr>
      <w:r w:rsidRPr="00F02C10">
        <w:t>Rozvody jednotlivých okruhů osvětlení a zásuvek budou provedeny třívodičem,</w:t>
      </w:r>
      <w:r w:rsidR="00995A19">
        <w:t xml:space="preserve"> </w:t>
      </w:r>
      <w:r w:rsidRPr="00F02C10">
        <w:t>popřípadě pětivodičem.</w:t>
      </w:r>
    </w:p>
    <w:p w:rsidR="0046347A" w:rsidRPr="00F02C10" w:rsidRDefault="0046347A" w:rsidP="0046347A">
      <w:pPr>
        <w:pStyle w:val="Odstavecseseznamem"/>
        <w:spacing w:line="240" w:lineRule="auto"/>
        <w:ind w:left="0" w:firstLine="0"/>
      </w:pPr>
      <w:r w:rsidRPr="00F02C10">
        <w:t xml:space="preserve">Rozvody budou provedeny podle ČSN 332130 v zónách. </w:t>
      </w:r>
    </w:p>
    <w:p w:rsidR="0046347A" w:rsidRPr="00F02C10" w:rsidRDefault="0046347A" w:rsidP="0046347A">
      <w:pPr>
        <w:pStyle w:val="Odstavecseseznamem"/>
        <w:spacing w:line="240" w:lineRule="auto"/>
        <w:ind w:left="0" w:firstLine="0"/>
      </w:pPr>
      <w:r w:rsidRPr="00F02C10">
        <w:t xml:space="preserve">Elektroinstalace je provedena kabely uloženými v podlaze, pod omítkou a </w:t>
      </w:r>
      <w:r w:rsidRPr="0044199D">
        <w:t xml:space="preserve">nad </w:t>
      </w:r>
      <w:r w:rsidRPr="00F02C10">
        <w:t>podhledem.</w:t>
      </w:r>
    </w:p>
    <w:p w:rsidR="0046347A" w:rsidRPr="00F02C10" w:rsidRDefault="0046347A" w:rsidP="0046347A">
      <w:pPr>
        <w:pStyle w:val="Odstavecseseznamem"/>
        <w:spacing w:line="240" w:lineRule="auto"/>
        <w:ind w:left="0" w:firstLine="0"/>
      </w:pPr>
      <w:r w:rsidRPr="00F02C10">
        <w:t>Světelné vývody v místnostech budou ukončeny svítidl</w:t>
      </w:r>
      <w:r w:rsidR="00FA5703">
        <w:t>y</w:t>
      </w:r>
      <w:r w:rsidRPr="00F02C10">
        <w:t xml:space="preserve"> dle požadavku investora. </w:t>
      </w:r>
    </w:p>
    <w:p w:rsidR="0046347A" w:rsidRPr="00F02C10" w:rsidRDefault="0046347A" w:rsidP="0046347A">
      <w:pPr>
        <w:pStyle w:val="Odstavecseseznamem"/>
        <w:spacing w:line="240" w:lineRule="auto"/>
        <w:ind w:left="0" w:firstLine="0"/>
      </w:pPr>
      <w:r w:rsidRPr="00F02C10">
        <w:t>Vypínače umístit ve výši 1200 mm osově od čisté podlahy.</w:t>
      </w:r>
    </w:p>
    <w:p w:rsidR="0046347A" w:rsidRPr="00F02C10" w:rsidRDefault="0046347A" w:rsidP="0046347A">
      <w:pPr>
        <w:pStyle w:val="Odstavecseseznamem"/>
        <w:spacing w:line="240" w:lineRule="auto"/>
        <w:ind w:left="0" w:firstLine="0"/>
      </w:pPr>
    </w:p>
    <w:p w:rsidR="0042362F" w:rsidRPr="00F02C10" w:rsidRDefault="0042362F" w:rsidP="00346E99">
      <w:pPr>
        <w:pStyle w:val="Nadpis4"/>
        <w:numPr>
          <w:ilvl w:val="1"/>
          <w:numId w:val="1"/>
        </w:numPr>
        <w:spacing w:line="240" w:lineRule="auto"/>
        <w:ind w:left="0" w:firstLine="0"/>
        <w:rPr>
          <w:color w:val="auto"/>
        </w:rPr>
      </w:pPr>
      <w:bookmarkStart w:id="43" w:name="_Toc486422629"/>
      <w:r w:rsidRPr="00F02C10">
        <w:rPr>
          <w:color w:val="auto"/>
        </w:rPr>
        <w:t>Osvětlení</w:t>
      </w:r>
      <w:bookmarkEnd w:id="43"/>
    </w:p>
    <w:p w:rsidR="0089456A" w:rsidRPr="00F02C10" w:rsidRDefault="0089456A" w:rsidP="0089456A">
      <w:pPr>
        <w:spacing w:line="240" w:lineRule="auto"/>
        <w:ind w:left="0" w:firstLine="0"/>
      </w:pPr>
      <w:r w:rsidRPr="00F02C10">
        <w:t xml:space="preserve">Typy svítidel, která jsou navržena v projektové dokumentaci, </w:t>
      </w:r>
      <w:r w:rsidR="00FA5703">
        <w:t>byla</w:t>
      </w:r>
      <w:r w:rsidRPr="00F02C10">
        <w:t xml:space="preserve"> použita pro výpočet sdruženého osvětlení v obytných místnostech. Po definitivním výběru svítidel je nutno provést kontrolní výpočet intenzity osvětlení.</w:t>
      </w:r>
    </w:p>
    <w:p w:rsidR="005D3254" w:rsidRPr="00F02C10" w:rsidRDefault="00C33E11" w:rsidP="003B4BDD">
      <w:pPr>
        <w:pStyle w:val="Odstavecseseznamem"/>
        <w:spacing w:line="240" w:lineRule="auto"/>
        <w:ind w:left="0" w:firstLine="0"/>
      </w:pPr>
      <w:r w:rsidRPr="00F02C10">
        <w:t xml:space="preserve">Osvětlení bude </w:t>
      </w:r>
      <w:r w:rsidR="00FA5703" w:rsidRPr="00F02C10">
        <w:t>přisazenými svítidly</w:t>
      </w:r>
      <w:r w:rsidRPr="00F02C10">
        <w:t xml:space="preserve">. Ovládání bude místními vypínači. </w:t>
      </w:r>
    </w:p>
    <w:p w:rsidR="005D3254" w:rsidRPr="00F02C10" w:rsidRDefault="00C33E11" w:rsidP="003B4BDD">
      <w:pPr>
        <w:pStyle w:val="Odstavecseseznamem"/>
        <w:spacing w:line="240" w:lineRule="auto"/>
        <w:ind w:left="0" w:firstLine="0"/>
      </w:pPr>
      <w:r w:rsidRPr="00F02C10">
        <w:t>Vybraná svítidla musí být</w:t>
      </w:r>
      <w:r w:rsidR="003B4BDD" w:rsidRPr="00F02C10">
        <w:t xml:space="preserve"> technologicky kvalitní, </w:t>
      </w:r>
      <w:r w:rsidR="00FA5703">
        <w:t xml:space="preserve">a </w:t>
      </w:r>
      <w:r w:rsidR="003B4BDD" w:rsidRPr="00F02C10">
        <w:t xml:space="preserve">dostatečné z estetického hlediska. Výběr proto musí odsouhlasit investor. </w:t>
      </w:r>
    </w:p>
    <w:p w:rsidR="005D3254" w:rsidRPr="00F02C10" w:rsidRDefault="003B4BDD" w:rsidP="003B4BDD">
      <w:pPr>
        <w:pStyle w:val="Odstavecseseznamem"/>
        <w:spacing w:line="240" w:lineRule="auto"/>
        <w:ind w:left="0" w:firstLine="0"/>
      </w:pPr>
      <w:r w:rsidRPr="00F02C10">
        <w:t>Investorovi</w:t>
      </w:r>
      <w:r w:rsidR="005D3254" w:rsidRPr="00F02C10">
        <w:t xml:space="preserve"> se</w:t>
      </w:r>
      <w:r w:rsidR="00956B83" w:rsidRPr="00F02C10">
        <w:t xml:space="preserve"> </w:t>
      </w:r>
      <w:r w:rsidRPr="00F02C10">
        <w:t>kromě estetických dokladů musí doložit, že svítidla budou dostačující z hlediska norem. Je nutné dodržet požadavky normy</w:t>
      </w:r>
      <w:r w:rsidR="005D3254" w:rsidRPr="00F02C10">
        <w:t xml:space="preserve"> a intenzity osvětlení :</w:t>
      </w:r>
    </w:p>
    <w:p w:rsidR="005D3254" w:rsidRPr="00F02C10" w:rsidRDefault="003B4BDD" w:rsidP="003B4BDD">
      <w:pPr>
        <w:pStyle w:val="Odstavecseseznamem"/>
        <w:spacing w:line="240" w:lineRule="auto"/>
        <w:ind w:left="0" w:firstLine="0"/>
        <w:rPr>
          <w:b/>
        </w:rPr>
      </w:pPr>
      <w:r w:rsidRPr="00F02C10">
        <w:t>komunikační prostory a chodby:</w:t>
      </w:r>
      <w:r w:rsidR="00A52458" w:rsidRPr="00F02C10">
        <w:t xml:space="preserve">               </w:t>
      </w:r>
      <w:r w:rsidRPr="00F02C10">
        <w:t xml:space="preserve"> </w:t>
      </w:r>
      <w:r w:rsidRPr="00F02C10">
        <w:rPr>
          <w:b/>
        </w:rPr>
        <w:t>Em=100</w:t>
      </w:r>
      <w:r w:rsidR="00A77465" w:rsidRPr="00F02C10">
        <w:rPr>
          <w:b/>
        </w:rPr>
        <w:t xml:space="preserve"> </w:t>
      </w:r>
      <w:r w:rsidRPr="00F02C10">
        <w:rPr>
          <w:b/>
        </w:rPr>
        <w:t>lx,</w:t>
      </w:r>
      <w:r w:rsidR="00A77465" w:rsidRPr="00F02C10">
        <w:rPr>
          <w:b/>
        </w:rPr>
        <w:t xml:space="preserve"> </w:t>
      </w:r>
      <w:r w:rsidRPr="00F02C10">
        <w:rPr>
          <w:b/>
        </w:rPr>
        <w:t xml:space="preserve">UGRL=28, Ra=40; </w:t>
      </w:r>
    </w:p>
    <w:p w:rsidR="005D3254" w:rsidRPr="00F02C10" w:rsidRDefault="003B4BDD" w:rsidP="003B4BDD">
      <w:pPr>
        <w:pStyle w:val="Odstavecseseznamem"/>
        <w:spacing w:line="240" w:lineRule="auto"/>
        <w:ind w:left="0" w:firstLine="0"/>
      </w:pPr>
      <w:r w:rsidRPr="00F02C10">
        <w:t>šatny, WC:</w:t>
      </w:r>
      <w:r w:rsidR="00A52458" w:rsidRPr="00F02C10">
        <w:t xml:space="preserve">                                                </w:t>
      </w:r>
      <w:r w:rsidRPr="00F02C10">
        <w:rPr>
          <w:b/>
        </w:rPr>
        <w:t>Em=200</w:t>
      </w:r>
      <w:r w:rsidR="00A77465" w:rsidRPr="00F02C10">
        <w:rPr>
          <w:b/>
        </w:rPr>
        <w:t xml:space="preserve"> </w:t>
      </w:r>
      <w:r w:rsidRPr="00F02C10">
        <w:rPr>
          <w:b/>
        </w:rPr>
        <w:t>lx,</w:t>
      </w:r>
      <w:r w:rsidR="00A77465" w:rsidRPr="00F02C10">
        <w:rPr>
          <w:b/>
        </w:rPr>
        <w:t xml:space="preserve"> </w:t>
      </w:r>
      <w:r w:rsidRPr="00F02C10">
        <w:rPr>
          <w:b/>
        </w:rPr>
        <w:t>UGRL=22, Ra=80;</w:t>
      </w:r>
      <w:r w:rsidR="00A77465" w:rsidRPr="00F02C10">
        <w:t xml:space="preserve"> </w:t>
      </w:r>
    </w:p>
    <w:p w:rsidR="00A52458" w:rsidRPr="00F02C10" w:rsidRDefault="00702754" w:rsidP="003B4BDD">
      <w:pPr>
        <w:pStyle w:val="Odstavecseseznamem"/>
        <w:spacing w:line="240" w:lineRule="auto"/>
        <w:ind w:left="0" w:firstLine="0"/>
        <w:rPr>
          <w:b/>
        </w:rPr>
      </w:pPr>
      <w:r w:rsidRPr="00F02C10">
        <w:t>herna</w:t>
      </w:r>
      <w:r w:rsidR="005C7B5C" w:rsidRPr="00F02C10">
        <w:t xml:space="preserve"> – sdružené osvětlení                         </w:t>
      </w:r>
      <w:r w:rsidR="005C7B5C" w:rsidRPr="00F02C10">
        <w:rPr>
          <w:b/>
        </w:rPr>
        <w:t xml:space="preserve">Em=500 lx, UGRL=19, Ra=80. </w:t>
      </w:r>
    </w:p>
    <w:p w:rsidR="005D3254" w:rsidRPr="00F02C10" w:rsidRDefault="00702754" w:rsidP="003B4BDD">
      <w:pPr>
        <w:pStyle w:val="Odstavecseseznamem"/>
        <w:spacing w:line="240" w:lineRule="auto"/>
        <w:ind w:left="0" w:firstLine="0"/>
      </w:pPr>
      <w:r w:rsidRPr="00F02C10">
        <w:t>kancelář</w:t>
      </w:r>
      <w:r w:rsidR="003B4BDD" w:rsidRPr="00F02C10">
        <w:t>:</w:t>
      </w:r>
      <w:r w:rsidRPr="00F02C10">
        <w:t xml:space="preserve">                                                      </w:t>
      </w:r>
      <w:r w:rsidR="003B4BDD" w:rsidRPr="00F02C10">
        <w:t xml:space="preserve"> </w:t>
      </w:r>
      <w:r w:rsidR="00A52458" w:rsidRPr="00F02C10">
        <w:t xml:space="preserve">  </w:t>
      </w:r>
      <w:r w:rsidR="003B4BDD" w:rsidRPr="00F02C10">
        <w:rPr>
          <w:b/>
        </w:rPr>
        <w:t>Em=500</w:t>
      </w:r>
      <w:r w:rsidR="00A77465" w:rsidRPr="00F02C10">
        <w:rPr>
          <w:b/>
        </w:rPr>
        <w:t xml:space="preserve"> </w:t>
      </w:r>
      <w:r w:rsidR="003B4BDD" w:rsidRPr="00F02C10">
        <w:rPr>
          <w:b/>
        </w:rPr>
        <w:t>lx,</w:t>
      </w:r>
      <w:r w:rsidR="00A77465" w:rsidRPr="00F02C10">
        <w:rPr>
          <w:b/>
        </w:rPr>
        <w:t xml:space="preserve"> </w:t>
      </w:r>
      <w:r w:rsidR="003B4BDD" w:rsidRPr="00F02C10">
        <w:rPr>
          <w:b/>
        </w:rPr>
        <w:t>UGRL=19, Ra=80.</w:t>
      </w:r>
      <w:r w:rsidR="00A77465" w:rsidRPr="00F02C10">
        <w:t xml:space="preserve"> </w:t>
      </w:r>
    </w:p>
    <w:p w:rsidR="005C7B5C" w:rsidRPr="00F02C10" w:rsidRDefault="005C7B5C" w:rsidP="003B4BDD">
      <w:pPr>
        <w:pStyle w:val="Odstavecseseznamem"/>
        <w:spacing w:line="240" w:lineRule="auto"/>
        <w:ind w:left="0" w:firstLine="0"/>
      </w:pPr>
    </w:p>
    <w:p w:rsidR="0072485F" w:rsidRPr="00F02C10" w:rsidRDefault="0072485F" w:rsidP="003B4BDD">
      <w:pPr>
        <w:pStyle w:val="Odstavecseseznamem"/>
        <w:spacing w:line="240" w:lineRule="auto"/>
        <w:ind w:left="0" w:firstLine="0"/>
      </w:pPr>
      <w:r w:rsidRPr="00F02C10">
        <w:t xml:space="preserve">Na chodbě </w:t>
      </w:r>
      <w:r w:rsidR="00FA5703">
        <w:t xml:space="preserve">a na schodišti </w:t>
      </w:r>
      <w:r w:rsidRPr="00F02C10">
        <w:t xml:space="preserve">jsou navržena nouzová svítidla s vlastními bateriovými zdroji. V případě výpadku el. energie se automaticky rozsvěcí.  </w:t>
      </w:r>
    </w:p>
    <w:p w:rsidR="005D3254" w:rsidRPr="00F02C10" w:rsidRDefault="00A77465" w:rsidP="0072485F">
      <w:pPr>
        <w:pStyle w:val="Odstavecseseznamem"/>
        <w:spacing w:line="240" w:lineRule="auto"/>
        <w:ind w:left="0" w:firstLine="0"/>
      </w:pPr>
      <w:r w:rsidRPr="00F02C10">
        <w:t>Barva a design vypínačů a lišt musí být odsouhlasen investorem.</w:t>
      </w:r>
      <w:r w:rsidR="00900A51" w:rsidRPr="00F02C10">
        <w:t xml:space="preserve"> (Doporučuji bílou barvu.) </w:t>
      </w:r>
    </w:p>
    <w:p w:rsidR="0042362F" w:rsidRDefault="003547B4" w:rsidP="003B4BDD">
      <w:pPr>
        <w:pStyle w:val="Odstavecseseznamem"/>
        <w:spacing w:line="240" w:lineRule="auto"/>
        <w:ind w:left="0" w:firstLine="0"/>
      </w:pPr>
      <w:r w:rsidRPr="00F02C10">
        <w:t>Vypínače budou umístěny ve výšce 1,2 m, pokud investor neurčí jinak.</w:t>
      </w:r>
    </w:p>
    <w:p w:rsidR="00A03E59" w:rsidRPr="00F02C10" w:rsidRDefault="00A03E59" w:rsidP="003B4BDD">
      <w:pPr>
        <w:pStyle w:val="Odstavecseseznamem"/>
        <w:spacing w:line="240" w:lineRule="auto"/>
        <w:ind w:left="0" w:firstLine="0"/>
      </w:pPr>
    </w:p>
    <w:p w:rsidR="0042362F" w:rsidRPr="00F02C10" w:rsidRDefault="0042362F" w:rsidP="00AF2A27">
      <w:pPr>
        <w:pStyle w:val="Nadpis4"/>
        <w:numPr>
          <w:ilvl w:val="1"/>
          <w:numId w:val="1"/>
        </w:numPr>
        <w:tabs>
          <w:tab w:val="left" w:pos="709"/>
        </w:tabs>
        <w:spacing w:line="240" w:lineRule="auto"/>
        <w:ind w:left="0" w:firstLine="0"/>
        <w:rPr>
          <w:color w:val="auto"/>
        </w:rPr>
      </w:pPr>
      <w:bookmarkStart w:id="44" w:name="_Toc486422630"/>
      <w:r w:rsidRPr="00F02C10">
        <w:rPr>
          <w:color w:val="auto"/>
        </w:rPr>
        <w:t>Ostatní elektroinstalace</w:t>
      </w:r>
      <w:bookmarkEnd w:id="44"/>
    </w:p>
    <w:p w:rsidR="00A52458" w:rsidRPr="00F02C10" w:rsidRDefault="00053599" w:rsidP="00CF406F">
      <w:pPr>
        <w:pStyle w:val="Odstavecseseznamem"/>
        <w:spacing w:line="240" w:lineRule="auto"/>
        <w:ind w:left="0" w:firstLine="0"/>
      </w:pPr>
      <w:r w:rsidRPr="00F02C10">
        <w:t>U</w:t>
      </w:r>
      <w:r w:rsidR="00A52458" w:rsidRPr="00F02C10">
        <w:t xml:space="preserve">místění zásuvek </w:t>
      </w:r>
      <w:r w:rsidR="00A03E59">
        <w:t>v místnostech heren a šatnách 1,2 m nad úrovní čisté podlahy, v kanceláři 0,25 m nad úrovní čisté podlahy. Zásuvky musí být opatřeny záslepkami proti dotyku.</w:t>
      </w:r>
    </w:p>
    <w:p w:rsidR="004C74C4" w:rsidRPr="00F02C10" w:rsidRDefault="003547B4" w:rsidP="00CF406F">
      <w:pPr>
        <w:pStyle w:val="Odstavecseseznamem"/>
        <w:spacing w:line="240" w:lineRule="auto"/>
        <w:ind w:left="0" w:firstLine="0"/>
      </w:pPr>
      <w:r w:rsidRPr="00F02C10">
        <w:t xml:space="preserve"> Zásuvky</w:t>
      </w:r>
      <w:r w:rsidR="00A52458" w:rsidRPr="00F02C10">
        <w:t xml:space="preserve"> v</w:t>
      </w:r>
      <w:r w:rsidR="00053599" w:rsidRPr="00F02C10">
        <w:t xml:space="preserve"> přípravně jídel </w:t>
      </w:r>
      <w:r w:rsidRPr="00F02C10">
        <w:t xml:space="preserve">budou umístěny ve výšce 0,9 m, pokud investor neurčí jinak. </w:t>
      </w:r>
    </w:p>
    <w:p w:rsidR="0042362F" w:rsidRPr="00F02C10" w:rsidRDefault="00C86BD4" w:rsidP="004D7A96">
      <w:pPr>
        <w:ind w:left="0" w:firstLine="0"/>
      </w:pPr>
      <w:r w:rsidRPr="00F02C10">
        <w:t>Veškeré zásuvkové obvody budou chráněny proudovými chrániči s vybavovacím proudem 30 mA.</w:t>
      </w:r>
    </w:p>
    <w:p w:rsidR="0042362F" w:rsidRPr="00F02C10" w:rsidRDefault="0042362F" w:rsidP="00346E99">
      <w:pPr>
        <w:pStyle w:val="Nadpis4"/>
        <w:numPr>
          <w:ilvl w:val="1"/>
          <w:numId w:val="1"/>
        </w:numPr>
        <w:spacing w:line="240" w:lineRule="auto"/>
        <w:ind w:left="0" w:firstLine="0"/>
        <w:rPr>
          <w:color w:val="auto"/>
        </w:rPr>
      </w:pPr>
      <w:bookmarkStart w:id="45" w:name="_Toc486422631"/>
      <w:r w:rsidRPr="00F02C10">
        <w:rPr>
          <w:color w:val="auto"/>
        </w:rPr>
        <w:t>Technologie</w:t>
      </w:r>
      <w:bookmarkEnd w:id="45"/>
    </w:p>
    <w:p w:rsidR="00A52458" w:rsidRPr="00F02C10" w:rsidRDefault="00A03E59" w:rsidP="004D7A96">
      <w:pPr>
        <w:spacing w:line="240" w:lineRule="auto"/>
        <w:ind w:left="0" w:firstLine="0"/>
      </w:pPr>
      <w:r>
        <w:t>Po rekonstrukci bude pro vytápění sloužit výměníková stanice, která není součástí této  projektové dokumentace. Potřebné zařízení, oběhová čerpadla, budou napájeny z nového rozvádě</w:t>
      </w:r>
      <w:r w:rsidR="00D3748E">
        <w:t>če R</w:t>
      </w:r>
      <w:r w:rsidR="00E248B9">
        <w:t>H</w:t>
      </w:r>
      <w:r w:rsidR="00D3748E">
        <w:t>.</w:t>
      </w:r>
    </w:p>
    <w:p w:rsidR="00106247" w:rsidRDefault="00106247" w:rsidP="00106247">
      <w:pPr>
        <w:pStyle w:val="Nadpis4"/>
        <w:numPr>
          <w:ilvl w:val="1"/>
          <w:numId w:val="1"/>
        </w:numPr>
        <w:spacing w:line="240" w:lineRule="auto"/>
        <w:ind w:left="0" w:firstLine="0"/>
        <w:rPr>
          <w:rFonts w:ascii="Cambria" w:eastAsia="Times New Roman" w:hAnsi="Cambria" w:cs="Times New Roman"/>
          <w:color w:val="auto"/>
        </w:rPr>
      </w:pPr>
      <w:bookmarkStart w:id="46" w:name="_Toc506967503"/>
      <w:r w:rsidRPr="00F02C10">
        <w:rPr>
          <w:rFonts w:ascii="Cambria" w:eastAsia="Times New Roman" w:hAnsi="Cambria" w:cs="Times New Roman"/>
          <w:color w:val="auto"/>
        </w:rPr>
        <w:t>Technologie slaboproudu</w:t>
      </w:r>
      <w:bookmarkEnd w:id="46"/>
    </w:p>
    <w:p w:rsidR="00E248B9" w:rsidRDefault="00E248B9" w:rsidP="00E248B9">
      <w:pPr>
        <w:spacing w:line="240" w:lineRule="auto"/>
        <w:ind w:left="0" w:firstLine="0"/>
      </w:pPr>
      <w:r w:rsidRPr="00F02C10">
        <w:rPr>
          <w:u w:val="single"/>
        </w:rPr>
        <w:t>Domácí telefon</w:t>
      </w:r>
      <w:r w:rsidRPr="00F02C10">
        <w:t xml:space="preserve"> – PD bude řešena vybraným dodavatelem zařízení</w:t>
      </w:r>
      <w:r>
        <w:t>.</w:t>
      </w:r>
    </w:p>
    <w:p w:rsidR="00E248B9" w:rsidRPr="00F02C10" w:rsidRDefault="00E248B9" w:rsidP="00E248B9">
      <w:pPr>
        <w:spacing w:line="240" w:lineRule="auto"/>
        <w:ind w:left="0" w:firstLine="0"/>
      </w:pPr>
    </w:p>
    <w:p w:rsidR="00E248B9" w:rsidRPr="00F02C10" w:rsidRDefault="00E248B9" w:rsidP="00E248B9">
      <w:pPr>
        <w:spacing w:line="240" w:lineRule="auto"/>
        <w:ind w:left="0" w:firstLine="0"/>
      </w:pPr>
      <w:r w:rsidRPr="00F02C10">
        <w:rPr>
          <w:u w:val="single"/>
        </w:rPr>
        <w:t>EZS</w:t>
      </w:r>
      <w:r w:rsidRPr="00F02C10">
        <w:t xml:space="preserve"> – PD bude řešena vybraným dodavatelem zařízení</w:t>
      </w:r>
    </w:p>
    <w:p w:rsidR="00E248B9" w:rsidRPr="00F02C10" w:rsidRDefault="00E248B9" w:rsidP="00E248B9">
      <w:pPr>
        <w:spacing w:line="240" w:lineRule="auto"/>
        <w:ind w:left="0" w:firstLine="0"/>
      </w:pPr>
      <w:r w:rsidRPr="00F02C10">
        <w:t>Hlásiče požáru:</w:t>
      </w:r>
    </w:p>
    <w:p w:rsidR="00E248B9" w:rsidRPr="00F02C10" w:rsidRDefault="00E248B9" w:rsidP="00E248B9">
      <w:pPr>
        <w:spacing w:line="240" w:lineRule="auto"/>
        <w:ind w:left="0" w:firstLine="0"/>
      </w:pPr>
      <w:r w:rsidRPr="00F02C10">
        <w:t xml:space="preserve">V souladu s požadavky §͠26 odst. 1 vyhl. č. 23/2008 Sb. ve znění vyhl. č. 268/2011 Sb. budou v řešených prostorách instalovány hlásiče požáru použité v elektrické zabezpečovací signalizaci /EZS). </w:t>
      </w:r>
    </w:p>
    <w:p w:rsidR="00E248B9" w:rsidRPr="00F02C10" w:rsidRDefault="00E248B9" w:rsidP="00E248B9">
      <w:pPr>
        <w:spacing w:line="240" w:lineRule="auto"/>
        <w:ind w:left="0" w:firstLine="0"/>
      </w:pPr>
      <w:r w:rsidRPr="00F02C10">
        <w:t>V řešených prostorách bud</w:t>
      </w:r>
      <w:r>
        <w:t>ou</w:t>
      </w:r>
      <w:r w:rsidRPr="00F02C10">
        <w:t xml:space="preserve"> instalován</w:t>
      </w:r>
      <w:r>
        <w:t>y</w:t>
      </w:r>
      <w:r w:rsidRPr="00F02C10">
        <w:t>:</w:t>
      </w:r>
    </w:p>
    <w:p w:rsidR="00E248B9" w:rsidRPr="00F02C10" w:rsidRDefault="00E248B9" w:rsidP="00E248B9">
      <w:pPr>
        <w:spacing w:line="240" w:lineRule="auto"/>
        <w:ind w:left="0" w:firstLine="0"/>
      </w:pPr>
      <w:r w:rsidRPr="00F02C10">
        <w:t xml:space="preserve">optokouřové senzory </w:t>
      </w:r>
    </w:p>
    <w:p w:rsidR="00106247" w:rsidRPr="00F02C10" w:rsidRDefault="00106247" w:rsidP="00106247">
      <w:pPr>
        <w:spacing w:line="240" w:lineRule="auto"/>
        <w:ind w:left="0" w:firstLine="0"/>
      </w:pPr>
      <w:r w:rsidRPr="00F02C10">
        <w:t xml:space="preserve">Telefon bude veden datovým rozvodem do zásuvky kanceláři a v herně </w:t>
      </w:r>
      <w:r w:rsidR="00D3748E">
        <w:t>v 1.NP a 2.NP.</w:t>
      </w:r>
      <w:r w:rsidRPr="00F02C10">
        <w:t xml:space="preserve">  </w:t>
      </w:r>
    </w:p>
    <w:p w:rsidR="0042362F" w:rsidRDefault="00674617" w:rsidP="00346E99">
      <w:pPr>
        <w:pStyle w:val="Nadpis4"/>
        <w:numPr>
          <w:ilvl w:val="1"/>
          <w:numId w:val="1"/>
        </w:numPr>
        <w:spacing w:line="240" w:lineRule="auto"/>
        <w:ind w:left="0" w:firstLine="0"/>
        <w:rPr>
          <w:color w:val="auto"/>
        </w:rPr>
      </w:pPr>
      <w:bookmarkStart w:id="47" w:name="_Toc486422632"/>
      <w:r w:rsidRPr="00F02C10">
        <w:rPr>
          <w:color w:val="auto"/>
        </w:rPr>
        <w:t>Dokumentace skutečného stavu</w:t>
      </w:r>
      <w:bookmarkEnd w:id="47"/>
      <w:r w:rsidR="00E248B9">
        <w:rPr>
          <w:color w:val="auto"/>
        </w:rPr>
        <w:t xml:space="preserve"> </w:t>
      </w:r>
    </w:p>
    <w:p w:rsidR="0093143F" w:rsidRDefault="00674617" w:rsidP="00B109F7">
      <w:pPr>
        <w:spacing w:line="240" w:lineRule="auto"/>
        <w:ind w:left="0" w:firstLine="0"/>
      </w:pPr>
      <w:r w:rsidRPr="00F02C10">
        <w:t xml:space="preserve">Dokumentace skutečného stavu bude provedena </w:t>
      </w:r>
      <w:r w:rsidR="00FA5703">
        <w:t>po ukončení montáže</w:t>
      </w:r>
      <w:r w:rsidRPr="00F02C10">
        <w:t xml:space="preserve"> nové instalace a dle zaměření bude do n</w:t>
      </w:r>
      <w:r w:rsidR="00FA5703">
        <w:t>í</w:t>
      </w:r>
      <w:r w:rsidRPr="00F02C10">
        <w:t xml:space="preserve"> zanesen</w:t>
      </w:r>
      <w:r w:rsidR="00FA5703">
        <w:t>o</w:t>
      </w:r>
      <w:r w:rsidRPr="00F02C10">
        <w:t xml:space="preserve"> i zjištění z toho zaměření</w:t>
      </w:r>
      <w:r w:rsidR="0093143F" w:rsidRPr="00F02C10">
        <w:t>.</w:t>
      </w:r>
      <w:r w:rsidRPr="00F02C10">
        <w:t xml:space="preserve"> V rámci dokumentace skutečného stavu bude</w:t>
      </w:r>
      <w:r w:rsidR="00FA5703">
        <w:t xml:space="preserve"> upraveno</w:t>
      </w:r>
      <w:r w:rsidRPr="00F02C10">
        <w:t xml:space="preserve"> i schéma napájení dle zaměření včetně zjištění typů kabelů.</w:t>
      </w:r>
      <w:r w:rsidR="00C1479B" w:rsidRPr="00F02C10">
        <w:t xml:space="preserve"> Nejpozději </w:t>
      </w:r>
      <w:r w:rsidR="00FA5703">
        <w:t xml:space="preserve">při předání </w:t>
      </w:r>
      <w:r w:rsidR="0055214D">
        <w:t>stavebních prací předat tuto dokumentaci</w:t>
      </w:r>
      <w:r w:rsidR="00C1479B" w:rsidRPr="00F02C10">
        <w:t xml:space="preserve"> </w:t>
      </w:r>
      <w:r w:rsidR="0055214D" w:rsidRPr="00F02C10">
        <w:t>skutečného stavu včetně dokladů.</w:t>
      </w:r>
      <w:r w:rsidR="00C1479B" w:rsidRPr="00F02C10">
        <w:t xml:space="preserve"> </w:t>
      </w:r>
    </w:p>
    <w:p w:rsidR="00B109F7" w:rsidRDefault="00B109F7" w:rsidP="00B109F7">
      <w:pPr>
        <w:pStyle w:val="Nadpis4"/>
        <w:numPr>
          <w:ilvl w:val="1"/>
          <w:numId w:val="1"/>
        </w:numPr>
        <w:spacing w:line="240" w:lineRule="auto"/>
        <w:ind w:left="0" w:firstLine="0"/>
        <w:rPr>
          <w:color w:val="auto"/>
        </w:rPr>
      </w:pPr>
      <w:bookmarkStart w:id="48" w:name="_Toc317748300"/>
      <w:bookmarkStart w:id="49" w:name="_Toc317748419"/>
      <w:bookmarkStart w:id="50" w:name="_Toc486422633"/>
      <w:r>
        <w:rPr>
          <w:color w:val="auto"/>
        </w:rPr>
        <w:t>Hromosvod</w:t>
      </w:r>
    </w:p>
    <w:p w:rsidR="00F24706" w:rsidRPr="00F24706" w:rsidRDefault="00F24706" w:rsidP="00F24706">
      <w:pPr>
        <w:spacing w:line="240" w:lineRule="auto"/>
        <w:ind w:left="0" w:firstLine="0"/>
      </w:pPr>
      <w:r>
        <w:t>Stávající hromosvod na střeše mateřské školy bude  zrevidován a případně opraven a doplněn podle platné normy pro hromosvody ČSN EN 62 305.</w:t>
      </w:r>
    </w:p>
    <w:p w:rsidR="00B109F7" w:rsidRPr="00B109F7" w:rsidRDefault="00B109F7" w:rsidP="00B109F7"/>
    <w:p w:rsidR="0093143F" w:rsidRPr="00F02C10" w:rsidRDefault="0093143F" w:rsidP="00346E99">
      <w:pPr>
        <w:pStyle w:val="Nadpis3"/>
        <w:numPr>
          <w:ilvl w:val="0"/>
          <w:numId w:val="1"/>
        </w:numPr>
        <w:spacing w:line="240" w:lineRule="auto"/>
        <w:ind w:left="0" w:firstLine="0"/>
        <w:rPr>
          <w:color w:val="auto"/>
        </w:rPr>
      </w:pPr>
      <w:r w:rsidRPr="00F02C10">
        <w:rPr>
          <w:color w:val="auto"/>
        </w:rPr>
        <w:t>Závěr</w:t>
      </w:r>
      <w:bookmarkEnd w:id="48"/>
      <w:bookmarkEnd w:id="49"/>
      <w:bookmarkEnd w:id="50"/>
    </w:p>
    <w:p w:rsidR="0093143F" w:rsidRPr="00F02C10" w:rsidRDefault="0093143F" w:rsidP="00B517CD">
      <w:pPr>
        <w:spacing w:line="240" w:lineRule="auto"/>
        <w:ind w:left="0" w:firstLine="0"/>
      </w:pPr>
      <w:r w:rsidRPr="00F02C10">
        <w:t>Veškeré montážní práce musí být prováděny kvalifikovanými osobami a podle platných předpisů a norem.</w:t>
      </w:r>
      <w:r w:rsidR="00070B9A" w:rsidRPr="00F02C10">
        <w:t xml:space="preserve"> Vzhledem k tomu, že rekonstrukce bude probíhat v prostorech s existující ponechanou instalací, je nutné postupovat opatrně a bez škod. </w:t>
      </w:r>
    </w:p>
    <w:p w:rsidR="00902E69" w:rsidRPr="00F02C10" w:rsidRDefault="00902E69" w:rsidP="004D7A96">
      <w:pPr>
        <w:spacing w:line="240" w:lineRule="auto"/>
        <w:ind w:left="0" w:firstLine="0"/>
      </w:pPr>
    </w:p>
    <w:p w:rsidR="00902E69" w:rsidRPr="00F02C10" w:rsidRDefault="00902E69" w:rsidP="004D7A96">
      <w:pPr>
        <w:spacing w:line="240" w:lineRule="auto"/>
        <w:ind w:left="0" w:firstLine="0"/>
      </w:pPr>
    </w:p>
    <w:p w:rsidR="0093143F" w:rsidRPr="00F02C10" w:rsidRDefault="0093143F" w:rsidP="004D7A96">
      <w:pPr>
        <w:spacing w:line="240" w:lineRule="auto"/>
        <w:ind w:left="0" w:firstLine="0"/>
      </w:pPr>
      <w:r w:rsidRPr="00F02C10">
        <w:t xml:space="preserve"> </w:t>
      </w:r>
    </w:p>
    <w:p w:rsidR="0093143F" w:rsidRPr="00F02C10" w:rsidRDefault="0093143F" w:rsidP="004D7A96">
      <w:pPr>
        <w:spacing w:line="240" w:lineRule="auto"/>
        <w:ind w:left="0" w:firstLine="0"/>
        <w:rPr>
          <w:b/>
          <w:i/>
          <w:sz w:val="16"/>
        </w:rPr>
      </w:pPr>
      <w:r w:rsidRPr="00F02C10">
        <w:rPr>
          <w:b/>
          <w:i/>
          <w:sz w:val="16"/>
        </w:rPr>
        <w:t>Vybrané důležité normy:</w:t>
      </w:r>
    </w:p>
    <w:p w:rsidR="0093143F" w:rsidRPr="00F02C10" w:rsidRDefault="0093143F" w:rsidP="004D7A96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CLC/TS 50349 - Kvalifikace dodavatelů elektroinstalace, 01. 11. 2005;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1600 ed. 2 - Revize a kontroly elektrických spotřebičů během používání, 01. 12. 2009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2000-1 ed. 2 - Elektrické instalace nízkého napětí - Část 1: Základní hlediska, stanovení základních charakteristik, definice, 01. 06. 2009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2000-2-21 - Elektronické předpisy - Elektrická zařízení - Část 2: Definice - Kapitola 21: Pokyn k používání všeobecných termínů, 01. 05. 1998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 xml:space="preserve">ČSN 33 2000-4-41 ed. 2 - Elektrické instalace nízkého napětí - Část 4-41: Ochranná opatření pro zajištění bezpečnosti - Ochrana před úrazem elektrickým proudem, 01. 09. 2007, Z1 (01. 05. 2010), 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2000-4-42 ed. 2 - Elektrické instalace nízkého napětí - Část 4-42: Bezpečnost - Ochrana před účinky tepla, 01. 03. 2012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2000-4-43 ed. 2 - Elektrické instalace nízkého napětí - Část 4-43: Bezpečnost - Ochrana před nadproudy, 01. 01. 2011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2000-4-45 - Elektrotechnické předpisy. Elektrická zařízení. Část 4: Bezpečnost. Kapitola 45: Ochrana před podpětím, 01. 02. 1996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 xml:space="preserve">ČSN 33 2000-4-46 ed. 2 - Elektrotechnické předpisy - Elektrická zařízení - Část 4: Bezpečnost - Kapitola 46: Odpojování a spínání, 01. 10. 2002, 1 (01. 06. 2005), 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2000-4-442 ed. 2 - Elektrické instalace nízkého napětí - Část 4-442: Bezpečnost - Ochrana instalací nízkého napětí proti dočasným přepětím v důsledku zemních poruch v soustavách vysokého napětí, 01. 01. 2013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2000-4-443 ed. 2 - Elektrické instalace budov - Část 4-44: Bezpečnost - Ochrana před rušivým napětím a elektromagnetickým rušením - Kapitola 443: Ochrana proti atmosférickým nebo spínacím přepětím, 01. 03. 2007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2000-4-444 - Elektrické instalace nízkého napětí - Část 4-444: Bezpečnost - Ochrana před napěťovým a elektromagnetickým rušením, 01. 05. 2011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 xml:space="preserve">ČSN 33 2000-4-473 - Elektrotechnické předpisy. Elektrická zařízení. Část 4: Bezpečnost. Kapitola 47: Použití ochranných opatření pro zajištění bezpečnosti. Oddíl 473: Opatření k ochraně proti nadproudům, 01. 03. 1994, 1 (01. 02. 1996), 1 (01. 08. 2007), 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2000-4-482 - Elektrotechnické předpisy - Elektrická zařízení - Část 4: Bezpečnost - Kapitola 48: Výběr ochranných opatření podle vnějších vlivů - Oddíl 482: Ochrana proti požáru v prostorách se zvláštním rizikem nebo nebezpečím, 01. 02. 2000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2000-5-557 - Elektrické instalace nízkého napětí - Část 5-557: Výběr a stavba elektrických zařízení - Pomocné obvody, 01. 08. 2014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 xml:space="preserve">ČSN 33 2000-5-51 ed. 3 - Elektrické instalace nízkého napětí - Část 5-51: Výběr a stavba elektrických zařízení - Všeobecné předpisy, 01. 05. 2010, Z1 (01. 02. 2014), 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2000-5-52 ed. 2 - Elektrické instalace nízkého napětí - Část 5-52: Výběr a stavba elektrických zařízení - Elektrická vedení, 01. 03. 2012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2000-5-54 ed. 3 - Elektrické instalace nízkého napětí - Část 5-54: Výběr a stavba elektrických zařízení - Uzemnění a ochranné vodiče, 01. 05. 2012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 xml:space="preserve">ČSN 33 2000-5-56 ed. 2 - Elektrické instalace nízkého napětí - Část 5-56: Výběr a stavba elektrických zařízení - Zařízení pro bezpečnostní účely, 01. 11. 2010, Z1 (01. 01. 2013), Z2 (01. 01. 2014), 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2000-5-57 - Elektrické instalace nízkého napětí - Část 5-57: Koordinace elektrických zařízení pro ochranu, odpojování, spínání a řízení, 01. 12. 2014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2000-5-534 - Elektrické instalace nízkého napětí - Část 5-53: Výběr a stavba elektrických zařízení - Odpojování, spínání a řízení - Oddíl 534: Přepěťová ochranná zařízení, 01. 06. 2009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2000-5-537 - Elektrotechnické předpisy - Elektrická zařízení - Část 5: Výběr a stavba elektrických zařízení - Kapitola 53: Spínací a řídicí přístroje - Oddíl 537: Přístroje pro odpojování a spínání, 01. 03. 2001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2000-5-551 ed. 2 - Elektrické instalace nízkého napětí - Část 5-55: Výběr a stavba elektrických zařízení - Ostatní zařízení - Článek 551: Nízkonapěťová zdrojová zařízení, 01. 10. 2010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2000-5-559 ed. 2 - Elektrické instalace nízkého napětí - Část 5-559: Výběr a stavba elektrických zařízení - Svítidla a světelná instalace, 01. 04. 2013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2000-6 - Elektrické instalace nízkého napětí - Část 6: Revize, 01. 10. 2007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 xml:space="preserve">ČSN 33 2000-7-701 ed. 2 - Elektrické instalace nízkého napětí - Část 7-701: Zařízení jednoúčelová a ve zvláštních objektech - Prostory s vanou nebo sprchou, 01. 10. 2007, Z1 (01. 07. 2012), 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TNI 33 2000-7-701 - Elektrické instalace nízkého napětí - Část 7-701: Zařízení jednoúčelová a ve zvláštních objektech - Prostory s vanou nebo sprchou - Komentář k ČSN 33 2000-7-701 ed. 2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TNI 33 2000-7-702 - Elektrické instalace budov - Část 7: Zařízení jednoúčelová a ve zvláštních objektech - Oddíl 702: Plavecké bazény a jiné nádrže - Komentář k ČSN 33 2000-7-702 ed. 2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2000-7-702 ed. 3 - Elektrické instalace nízkého napětí - Část 7-702: Zařízení jednoúčelová a ve zvláštních objektech - Plavecké bazény a fontány, 01. 09. 2011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2000-7-704 ed. 2 - Elektrické instalace nízkého napětí - Část 7-704: Zařízení jednoúčelová a ve zvláštních objektech - Elektrická zařízení na staveništích a demolicích, 01. 09. 2007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2000-7-715 ed. 2 - Elektrické instalace nízkého napětí - Část 7-715: Zařízení jednoúčelová a ve zvláštních objektech - Světelná instalace napájená malým napětím, 01. 02. 2013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2000-7-718 - Elektrické instalace nízkého napětí - Část 7-718: Zařízení jednoúčelová a ve zvláštních objektech - Prostory občanské výstavby a pracoviště, 01. 05. 2014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2000-7-729 - Elektrické instalace nízkého napětí - Část 7-729: Zařízení jednoúčelová a ve zvláštních objektech - Uličky pro obsluhu nebo údržbu, 01. 06. 2010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 xml:space="preserve">ČSN 33 2000-7-753 - Elektrické instalace budov - Část 7: Zařízení jednoúčelová a ve zvláštních objektech - Oddíl 753: Podlahové a stropní vytápění, 01. 06. 2003, Z1 (01. 04. 2015), 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2000-7-753 ed. 2 - Elektrické instalace nízkého napětí - Část 7-753: Zařízení jednoúčelová a ve zvláštních objektech - Topné kabely a pevně instalované topné systémy, 01. 04. 2015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2040 - Elektrotechnické předpisy. Ochrana před účinky elektromagnetického pole 50 Hz v pásmu vlivu zařízení elektrizační soustavy, 01. 02. 1993</w:t>
      </w:r>
    </w:p>
    <w:p w:rsidR="0098736C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 xml:space="preserve">ČSN 33 2130 ed. 2 - Elektrické instalace nízkého napětí - Vnitřní elektrické rozvody, 01. 10. 2009, Z1 (01. 01. 2015), </w:t>
      </w:r>
    </w:p>
    <w:p w:rsidR="0093143F" w:rsidRPr="00F02C10" w:rsidRDefault="0098736C" w:rsidP="0098736C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33 2130 ed. 3 - Elektrické instalace nízkého napětí - Vnitřní elektrické rozvody, 01. 01. 2015</w:t>
      </w:r>
      <w:r w:rsidR="0093143F" w:rsidRPr="00F02C10">
        <w:rPr>
          <w:i/>
          <w:sz w:val="16"/>
        </w:rPr>
        <w:t>ČSN EN 62305-1 ed. 2 - Ochrana před bleskem - Část 1: Obecné principy, 01. 10. 2011;</w:t>
      </w:r>
    </w:p>
    <w:p w:rsidR="0093143F" w:rsidRPr="00F02C10" w:rsidRDefault="0093143F" w:rsidP="004D7A96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 xml:space="preserve">ČSN EN 62305-2 - Ochrana před bleskem - Část 2: Řízení rizika, 01. 12. 2006, 1 (01. 08. 2007); </w:t>
      </w:r>
    </w:p>
    <w:p w:rsidR="0093143F" w:rsidRPr="00F02C10" w:rsidRDefault="0093143F" w:rsidP="004D7A96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EN 62305-3 ed. 2 - Ochrana před bleskem - Část 3: Hmotné škody na stavbách a ohrožení života, 01. 02. 2012;</w:t>
      </w:r>
    </w:p>
    <w:p w:rsidR="0093143F" w:rsidRPr="00F02C10" w:rsidRDefault="0093143F" w:rsidP="004D7A96">
      <w:pPr>
        <w:spacing w:line="240" w:lineRule="auto"/>
        <w:ind w:left="0" w:firstLine="0"/>
        <w:rPr>
          <w:i/>
          <w:sz w:val="16"/>
        </w:rPr>
      </w:pPr>
      <w:r w:rsidRPr="00F02C10">
        <w:rPr>
          <w:i/>
          <w:sz w:val="16"/>
        </w:rPr>
        <w:t>ČSN EN 62305-4 ed. 2 - Ochrana před bleskem - Část 4: Elektrické a elektronické systémy ve stavbách, 01. 10. 2011;</w:t>
      </w:r>
    </w:p>
    <w:p w:rsidR="00C35EBA" w:rsidRPr="00F02C10" w:rsidRDefault="0093143F" w:rsidP="004D7A96">
      <w:pPr>
        <w:spacing w:line="240" w:lineRule="auto"/>
        <w:ind w:left="0" w:firstLine="0"/>
      </w:pPr>
      <w:r w:rsidRPr="00F02C10">
        <w:rPr>
          <w:i/>
          <w:sz w:val="16"/>
        </w:rPr>
        <w:t>ČSN 73 4301 - Obytné budovy, 01. 07. 2004, (umělé osvětlení) Z1 (01. 08. 2005), Z2 (01. 10. 2009);</w:t>
      </w:r>
    </w:p>
    <w:sectPr w:rsidR="00C35EBA" w:rsidRPr="00F02C10" w:rsidSect="004236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F94" w:rsidRDefault="00793F94" w:rsidP="0042362F">
      <w:pPr>
        <w:spacing w:line="240" w:lineRule="auto"/>
      </w:pPr>
      <w:r>
        <w:separator/>
      </w:r>
    </w:p>
  </w:endnote>
  <w:endnote w:type="continuationSeparator" w:id="0">
    <w:p w:rsidR="00793F94" w:rsidRDefault="00793F94" w:rsidP="004236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ineta BT">
    <w:altName w:val="Courier New"/>
    <w:panose1 w:val="04020906050602070202"/>
    <w:charset w:val="00"/>
    <w:family w:val="decorative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2781"/>
      <w:docPartObj>
        <w:docPartGallery w:val="Page Numbers (Bottom of Page)"/>
        <w:docPartUnique/>
      </w:docPartObj>
    </w:sdtPr>
    <w:sdtContent>
      <w:p w:rsidR="005D3254" w:rsidRDefault="00657FD9">
        <w:pPr>
          <w:pStyle w:val="Zpat"/>
          <w:jc w:val="center"/>
        </w:pPr>
        <w:r>
          <w:fldChar w:fldCharType="begin"/>
        </w:r>
        <w:r w:rsidR="00E34A35">
          <w:instrText xml:space="preserve"> PAGE   \* MERGEFORMAT </w:instrText>
        </w:r>
        <w:r>
          <w:fldChar w:fldCharType="separate"/>
        </w:r>
        <w:r w:rsidR="00793F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3254" w:rsidRDefault="005D325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F94" w:rsidRDefault="00793F94" w:rsidP="0042362F">
      <w:pPr>
        <w:spacing w:line="240" w:lineRule="auto"/>
      </w:pPr>
      <w:r>
        <w:separator/>
      </w:r>
    </w:p>
  </w:footnote>
  <w:footnote w:type="continuationSeparator" w:id="0">
    <w:p w:rsidR="00793F94" w:rsidRDefault="00793F94" w:rsidP="0042362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807" w:rsidRDefault="00A9408D" w:rsidP="0042362F">
    <w:pPr>
      <w:pStyle w:val="Zhlav"/>
      <w:ind w:left="0" w:firstLine="0"/>
    </w:pPr>
    <w:r>
      <w:t>MŠ Děčín IX, Rudolfova 78 – stavební úpravy</w:t>
    </w:r>
    <w:r w:rsidR="00812807">
      <w:t xml:space="preserve"> </w:t>
    </w:r>
  </w:p>
  <w:p w:rsidR="005D3254" w:rsidRDefault="00A9408D" w:rsidP="0042362F">
    <w:pPr>
      <w:pStyle w:val="Zhlav"/>
      <w:ind w:left="0" w:firstLine="0"/>
    </w:pPr>
    <w:r>
      <w:t xml:space="preserve">Interiéru, výměna ZTI, UT a elektroinstalace                                                                       </w:t>
    </w:r>
    <w:r w:rsidR="005D3254" w:rsidRPr="00952B83">
      <w:rPr>
        <w:rFonts w:ascii="Vineta BT" w:hAnsi="Vineta BT"/>
        <w:i/>
        <w:sz w:val="28"/>
        <w:szCs w:val="28"/>
      </w:rPr>
      <w:t>SELM</w:t>
    </w:r>
    <w:r w:rsidR="005D3254" w:rsidRPr="00952B83">
      <w:rPr>
        <w:i/>
        <w:sz w:val="28"/>
        <w:szCs w:val="28"/>
      </w:rPr>
      <w:t xml:space="preserve"> </w:t>
    </w:r>
    <w:r w:rsidR="005D3254" w:rsidRPr="00952B83">
      <w:rPr>
        <w:b/>
        <w:i/>
        <w:sz w:val="28"/>
        <w:szCs w:val="28"/>
        <w:vertAlign w:val="subscript"/>
      </w:rPr>
      <w:t>s.r.o.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05DE7EA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1138AF"/>
    <w:multiLevelType w:val="hybridMultilevel"/>
    <w:tmpl w:val="A9966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86B5F"/>
    <w:multiLevelType w:val="multilevel"/>
    <w:tmpl w:val="2F4839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A.%2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160"/>
        </w:tabs>
        <w:ind w:left="2160" w:firstLine="0"/>
      </w:pPr>
      <w:rPr>
        <w:rFonts w:ascii="Verdana" w:eastAsia="Times New Roman" w:hAnsi="Verdana"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firstLine="0"/>
      </w:pPr>
      <w:rPr>
        <w:rFonts w:hint="default"/>
      </w:rPr>
    </w:lvl>
  </w:abstractNum>
  <w:abstractNum w:abstractNumId="3">
    <w:nsid w:val="319E3DB8"/>
    <w:multiLevelType w:val="hybridMultilevel"/>
    <w:tmpl w:val="0EBA407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336D2CD6"/>
    <w:multiLevelType w:val="hybridMultilevel"/>
    <w:tmpl w:val="0CD20F4A"/>
    <w:lvl w:ilvl="0" w:tplc="7BA016A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C72D68"/>
    <w:multiLevelType w:val="multilevel"/>
    <w:tmpl w:val="E0687C1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60"/>
        </w:tabs>
        <w:ind w:left="9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0"/>
        </w:tabs>
        <w:ind w:left="4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6">
    <w:nsid w:val="5222368D"/>
    <w:multiLevelType w:val="multilevel"/>
    <w:tmpl w:val="1E26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244A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A9E3B2A"/>
    <w:multiLevelType w:val="multilevel"/>
    <w:tmpl w:val="08AE77C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1827455"/>
    <w:multiLevelType w:val="hybridMultilevel"/>
    <w:tmpl w:val="718449DA"/>
    <w:lvl w:ilvl="0" w:tplc="BAEECB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731BD6"/>
    <w:multiLevelType w:val="hybridMultilevel"/>
    <w:tmpl w:val="34CCC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51B7C"/>
    <w:multiLevelType w:val="hybridMultilevel"/>
    <w:tmpl w:val="53F0B04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6DA519C9"/>
    <w:multiLevelType w:val="multilevel"/>
    <w:tmpl w:val="741A94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763E7147"/>
    <w:multiLevelType w:val="hybridMultilevel"/>
    <w:tmpl w:val="1A769C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D07E0"/>
    <w:multiLevelType w:val="hybridMultilevel"/>
    <w:tmpl w:val="B04E3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52520"/>
    <w:multiLevelType w:val="multilevel"/>
    <w:tmpl w:val="F62A56A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6">
    <w:nsid w:val="7FDC76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15"/>
  </w:num>
  <w:num w:numId="9">
    <w:abstractNumId w:val="6"/>
  </w:num>
  <w:num w:numId="10">
    <w:abstractNumId w:val="9"/>
  </w:num>
  <w:num w:numId="11">
    <w:abstractNumId w:val="2"/>
  </w:num>
  <w:num w:numId="12">
    <w:abstractNumId w:val="1"/>
  </w:num>
  <w:num w:numId="13">
    <w:abstractNumId w:val="14"/>
  </w:num>
  <w:num w:numId="14">
    <w:abstractNumId w:val="3"/>
  </w:num>
  <w:num w:numId="15">
    <w:abstractNumId w:val="11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5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B303B"/>
    <w:rsid w:val="00000B64"/>
    <w:rsid w:val="00013D31"/>
    <w:rsid w:val="00016367"/>
    <w:rsid w:val="000224B0"/>
    <w:rsid w:val="0002781D"/>
    <w:rsid w:val="00031534"/>
    <w:rsid w:val="0003410A"/>
    <w:rsid w:val="00037285"/>
    <w:rsid w:val="0004250D"/>
    <w:rsid w:val="0004541B"/>
    <w:rsid w:val="00046400"/>
    <w:rsid w:val="000469E5"/>
    <w:rsid w:val="00051277"/>
    <w:rsid w:val="0005169D"/>
    <w:rsid w:val="00052791"/>
    <w:rsid w:val="00053599"/>
    <w:rsid w:val="000546FC"/>
    <w:rsid w:val="0005782D"/>
    <w:rsid w:val="00064E27"/>
    <w:rsid w:val="00070402"/>
    <w:rsid w:val="00070B9A"/>
    <w:rsid w:val="00071102"/>
    <w:rsid w:val="000715F1"/>
    <w:rsid w:val="00083CDF"/>
    <w:rsid w:val="000844B7"/>
    <w:rsid w:val="0008487B"/>
    <w:rsid w:val="00085C54"/>
    <w:rsid w:val="000862C6"/>
    <w:rsid w:val="0008697D"/>
    <w:rsid w:val="00087F57"/>
    <w:rsid w:val="0009477F"/>
    <w:rsid w:val="000951A8"/>
    <w:rsid w:val="00095DBE"/>
    <w:rsid w:val="00097A68"/>
    <w:rsid w:val="000A156D"/>
    <w:rsid w:val="000A487E"/>
    <w:rsid w:val="000A4BF4"/>
    <w:rsid w:val="000A5508"/>
    <w:rsid w:val="000B133C"/>
    <w:rsid w:val="000B3F10"/>
    <w:rsid w:val="000B53D2"/>
    <w:rsid w:val="000C20DF"/>
    <w:rsid w:val="000C2CEA"/>
    <w:rsid w:val="000C3808"/>
    <w:rsid w:val="000C4C38"/>
    <w:rsid w:val="000C5A29"/>
    <w:rsid w:val="000C7DC2"/>
    <w:rsid w:val="000D0379"/>
    <w:rsid w:val="000D123C"/>
    <w:rsid w:val="000D16B0"/>
    <w:rsid w:val="000E0F7E"/>
    <w:rsid w:val="000E20C7"/>
    <w:rsid w:val="000E690E"/>
    <w:rsid w:val="000E7C58"/>
    <w:rsid w:val="000F0375"/>
    <w:rsid w:val="000F6BB2"/>
    <w:rsid w:val="00100D3A"/>
    <w:rsid w:val="00106247"/>
    <w:rsid w:val="001072DA"/>
    <w:rsid w:val="001131FE"/>
    <w:rsid w:val="001135DD"/>
    <w:rsid w:val="00115F58"/>
    <w:rsid w:val="001177ED"/>
    <w:rsid w:val="00122BE8"/>
    <w:rsid w:val="001275A0"/>
    <w:rsid w:val="00131055"/>
    <w:rsid w:val="001337BF"/>
    <w:rsid w:val="00133CDB"/>
    <w:rsid w:val="001343C0"/>
    <w:rsid w:val="001348B5"/>
    <w:rsid w:val="00140BAC"/>
    <w:rsid w:val="00144110"/>
    <w:rsid w:val="001445FA"/>
    <w:rsid w:val="00147BE9"/>
    <w:rsid w:val="0015028E"/>
    <w:rsid w:val="00150589"/>
    <w:rsid w:val="00152BC1"/>
    <w:rsid w:val="00155207"/>
    <w:rsid w:val="001627F2"/>
    <w:rsid w:val="001657CC"/>
    <w:rsid w:val="001660EB"/>
    <w:rsid w:val="00166A15"/>
    <w:rsid w:val="001704DA"/>
    <w:rsid w:val="00170555"/>
    <w:rsid w:val="001733F6"/>
    <w:rsid w:val="00176DC3"/>
    <w:rsid w:val="001812B3"/>
    <w:rsid w:val="00181BDA"/>
    <w:rsid w:val="00183BCB"/>
    <w:rsid w:val="00185115"/>
    <w:rsid w:val="00187E2F"/>
    <w:rsid w:val="001947DA"/>
    <w:rsid w:val="001A0BF9"/>
    <w:rsid w:val="001A0F23"/>
    <w:rsid w:val="001A1172"/>
    <w:rsid w:val="001A2C39"/>
    <w:rsid w:val="001B1598"/>
    <w:rsid w:val="001B78DF"/>
    <w:rsid w:val="001C418A"/>
    <w:rsid w:val="001F35B4"/>
    <w:rsid w:val="001F400B"/>
    <w:rsid w:val="001F5A54"/>
    <w:rsid w:val="001F63EE"/>
    <w:rsid w:val="00206D4F"/>
    <w:rsid w:val="0020768A"/>
    <w:rsid w:val="00210A49"/>
    <w:rsid w:val="00214586"/>
    <w:rsid w:val="00222390"/>
    <w:rsid w:val="00225F37"/>
    <w:rsid w:val="002266FB"/>
    <w:rsid w:val="0023049E"/>
    <w:rsid w:val="00230A36"/>
    <w:rsid w:val="00234138"/>
    <w:rsid w:val="00235376"/>
    <w:rsid w:val="002409DF"/>
    <w:rsid w:val="00243B00"/>
    <w:rsid w:val="002453C7"/>
    <w:rsid w:val="00264AF4"/>
    <w:rsid w:val="0027035B"/>
    <w:rsid w:val="00271095"/>
    <w:rsid w:val="0027521D"/>
    <w:rsid w:val="00284D14"/>
    <w:rsid w:val="0029712A"/>
    <w:rsid w:val="002A0894"/>
    <w:rsid w:val="002B612F"/>
    <w:rsid w:val="002C1B79"/>
    <w:rsid w:val="002C4FD6"/>
    <w:rsid w:val="002C5E16"/>
    <w:rsid w:val="002D07F8"/>
    <w:rsid w:val="002D70A6"/>
    <w:rsid w:val="002E1347"/>
    <w:rsid w:val="002E4BC0"/>
    <w:rsid w:val="002E7E08"/>
    <w:rsid w:val="002F44BA"/>
    <w:rsid w:val="002F5FAD"/>
    <w:rsid w:val="002F6807"/>
    <w:rsid w:val="00303201"/>
    <w:rsid w:val="0031151F"/>
    <w:rsid w:val="003121C4"/>
    <w:rsid w:val="00321937"/>
    <w:rsid w:val="00322D49"/>
    <w:rsid w:val="00330704"/>
    <w:rsid w:val="0033151B"/>
    <w:rsid w:val="003341B6"/>
    <w:rsid w:val="00335BF7"/>
    <w:rsid w:val="00337B56"/>
    <w:rsid w:val="00343CEA"/>
    <w:rsid w:val="00344247"/>
    <w:rsid w:val="0034572E"/>
    <w:rsid w:val="00346E99"/>
    <w:rsid w:val="0035418D"/>
    <w:rsid w:val="003547B4"/>
    <w:rsid w:val="003604A4"/>
    <w:rsid w:val="003648D6"/>
    <w:rsid w:val="00365A1A"/>
    <w:rsid w:val="00373595"/>
    <w:rsid w:val="003771D3"/>
    <w:rsid w:val="00380504"/>
    <w:rsid w:val="00386F45"/>
    <w:rsid w:val="00392CBC"/>
    <w:rsid w:val="003946DF"/>
    <w:rsid w:val="003A238E"/>
    <w:rsid w:val="003A5944"/>
    <w:rsid w:val="003A6AD4"/>
    <w:rsid w:val="003B1349"/>
    <w:rsid w:val="003B41AB"/>
    <w:rsid w:val="003B4BDD"/>
    <w:rsid w:val="003C5A64"/>
    <w:rsid w:val="003C7F33"/>
    <w:rsid w:val="003D3BD0"/>
    <w:rsid w:val="003D3CF0"/>
    <w:rsid w:val="003D4C85"/>
    <w:rsid w:val="003E524A"/>
    <w:rsid w:val="003E54A1"/>
    <w:rsid w:val="00405DBD"/>
    <w:rsid w:val="004129AC"/>
    <w:rsid w:val="00412B24"/>
    <w:rsid w:val="004146D1"/>
    <w:rsid w:val="0041501E"/>
    <w:rsid w:val="00416592"/>
    <w:rsid w:val="0042362F"/>
    <w:rsid w:val="004400AC"/>
    <w:rsid w:val="0044199D"/>
    <w:rsid w:val="00444BFA"/>
    <w:rsid w:val="0045580B"/>
    <w:rsid w:val="0046173B"/>
    <w:rsid w:val="0046347A"/>
    <w:rsid w:val="00480168"/>
    <w:rsid w:val="00481A8A"/>
    <w:rsid w:val="00490300"/>
    <w:rsid w:val="00496375"/>
    <w:rsid w:val="004A2C50"/>
    <w:rsid w:val="004B1217"/>
    <w:rsid w:val="004C15C1"/>
    <w:rsid w:val="004C22FD"/>
    <w:rsid w:val="004C74C4"/>
    <w:rsid w:val="004D38B0"/>
    <w:rsid w:val="004D43D7"/>
    <w:rsid w:val="004D4542"/>
    <w:rsid w:val="004D7A96"/>
    <w:rsid w:val="004E1C4F"/>
    <w:rsid w:val="004E5A8E"/>
    <w:rsid w:val="004F17F6"/>
    <w:rsid w:val="004F3FF7"/>
    <w:rsid w:val="004F5933"/>
    <w:rsid w:val="004F617F"/>
    <w:rsid w:val="005031CF"/>
    <w:rsid w:val="00532598"/>
    <w:rsid w:val="00536A31"/>
    <w:rsid w:val="00536F6B"/>
    <w:rsid w:val="00543BE8"/>
    <w:rsid w:val="0054665B"/>
    <w:rsid w:val="00547131"/>
    <w:rsid w:val="00547C0C"/>
    <w:rsid w:val="0055214D"/>
    <w:rsid w:val="0055406A"/>
    <w:rsid w:val="00561CED"/>
    <w:rsid w:val="00566C90"/>
    <w:rsid w:val="0058247D"/>
    <w:rsid w:val="00587812"/>
    <w:rsid w:val="00593DD1"/>
    <w:rsid w:val="00595794"/>
    <w:rsid w:val="005A018A"/>
    <w:rsid w:val="005A330D"/>
    <w:rsid w:val="005A520E"/>
    <w:rsid w:val="005A7C2D"/>
    <w:rsid w:val="005B22B4"/>
    <w:rsid w:val="005B3704"/>
    <w:rsid w:val="005B69D6"/>
    <w:rsid w:val="005B7140"/>
    <w:rsid w:val="005C0C4E"/>
    <w:rsid w:val="005C6110"/>
    <w:rsid w:val="005C7B5C"/>
    <w:rsid w:val="005D03D3"/>
    <w:rsid w:val="005D3254"/>
    <w:rsid w:val="005F09D8"/>
    <w:rsid w:val="005F3199"/>
    <w:rsid w:val="005F51C7"/>
    <w:rsid w:val="00601977"/>
    <w:rsid w:val="00602E47"/>
    <w:rsid w:val="0061315D"/>
    <w:rsid w:val="0061370A"/>
    <w:rsid w:val="00617E1A"/>
    <w:rsid w:val="00626FE6"/>
    <w:rsid w:val="00632D4B"/>
    <w:rsid w:val="00636FEA"/>
    <w:rsid w:val="0063772A"/>
    <w:rsid w:val="00641BD8"/>
    <w:rsid w:val="00643618"/>
    <w:rsid w:val="006520B8"/>
    <w:rsid w:val="00657FD9"/>
    <w:rsid w:val="00660BBE"/>
    <w:rsid w:val="00667F35"/>
    <w:rsid w:val="00670269"/>
    <w:rsid w:val="00670D83"/>
    <w:rsid w:val="006745A0"/>
    <w:rsid w:val="00674617"/>
    <w:rsid w:val="006813B3"/>
    <w:rsid w:val="00684F68"/>
    <w:rsid w:val="0068536F"/>
    <w:rsid w:val="006854E6"/>
    <w:rsid w:val="00694BBA"/>
    <w:rsid w:val="00695D09"/>
    <w:rsid w:val="006A3198"/>
    <w:rsid w:val="006A31DB"/>
    <w:rsid w:val="006A6A81"/>
    <w:rsid w:val="006B5735"/>
    <w:rsid w:val="006C4479"/>
    <w:rsid w:val="006C4EC5"/>
    <w:rsid w:val="006D00B4"/>
    <w:rsid w:val="006D3E15"/>
    <w:rsid w:val="006E1775"/>
    <w:rsid w:val="006E7575"/>
    <w:rsid w:val="006E76EB"/>
    <w:rsid w:val="006F7C16"/>
    <w:rsid w:val="00702754"/>
    <w:rsid w:val="007108B9"/>
    <w:rsid w:val="00710FF0"/>
    <w:rsid w:val="00712353"/>
    <w:rsid w:val="0071386F"/>
    <w:rsid w:val="007142C6"/>
    <w:rsid w:val="00717F57"/>
    <w:rsid w:val="0072485F"/>
    <w:rsid w:val="00725050"/>
    <w:rsid w:val="007357EC"/>
    <w:rsid w:val="00735C38"/>
    <w:rsid w:val="0074101A"/>
    <w:rsid w:val="007422ED"/>
    <w:rsid w:val="00742A70"/>
    <w:rsid w:val="00743B3C"/>
    <w:rsid w:val="00747AAD"/>
    <w:rsid w:val="00751E3A"/>
    <w:rsid w:val="00753213"/>
    <w:rsid w:val="00757435"/>
    <w:rsid w:val="00766076"/>
    <w:rsid w:val="00783DDC"/>
    <w:rsid w:val="007925D5"/>
    <w:rsid w:val="00793A9F"/>
    <w:rsid w:val="00793F94"/>
    <w:rsid w:val="007A73C5"/>
    <w:rsid w:val="007B719D"/>
    <w:rsid w:val="007C6895"/>
    <w:rsid w:val="007D02E9"/>
    <w:rsid w:val="007D19C1"/>
    <w:rsid w:val="007E5D90"/>
    <w:rsid w:val="007E7D67"/>
    <w:rsid w:val="007F2FEB"/>
    <w:rsid w:val="0080299E"/>
    <w:rsid w:val="00812807"/>
    <w:rsid w:val="0081530D"/>
    <w:rsid w:val="008168A2"/>
    <w:rsid w:val="00831A49"/>
    <w:rsid w:val="008417FD"/>
    <w:rsid w:val="008516F5"/>
    <w:rsid w:val="0085341E"/>
    <w:rsid w:val="00862428"/>
    <w:rsid w:val="0086384A"/>
    <w:rsid w:val="00871281"/>
    <w:rsid w:val="0087294C"/>
    <w:rsid w:val="00872D82"/>
    <w:rsid w:val="0087437D"/>
    <w:rsid w:val="00880312"/>
    <w:rsid w:val="00881BB6"/>
    <w:rsid w:val="00883159"/>
    <w:rsid w:val="00885429"/>
    <w:rsid w:val="00893373"/>
    <w:rsid w:val="008936C5"/>
    <w:rsid w:val="0089456A"/>
    <w:rsid w:val="00894B10"/>
    <w:rsid w:val="008A37F7"/>
    <w:rsid w:val="008A7AB2"/>
    <w:rsid w:val="008B35AC"/>
    <w:rsid w:val="008B7096"/>
    <w:rsid w:val="008C4440"/>
    <w:rsid w:val="008C68DE"/>
    <w:rsid w:val="008D22D6"/>
    <w:rsid w:val="008D2D89"/>
    <w:rsid w:val="008E1DCD"/>
    <w:rsid w:val="00900A51"/>
    <w:rsid w:val="00902E69"/>
    <w:rsid w:val="00906004"/>
    <w:rsid w:val="009062E5"/>
    <w:rsid w:val="0091235A"/>
    <w:rsid w:val="00912682"/>
    <w:rsid w:val="00921373"/>
    <w:rsid w:val="009219BA"/>
    <w:rsid w:val="0093062B"/>
    <w:rsid w:val="0093143F"/>
    <w:rsid w:val="00932351"/>
    <w:rsid w:val="00932833"/>
    <w:rsid w:val="00932989"/>
    <w:rsid w:val="00942B9C"/>
    <w:rsid w:val="00944D2D"/>
    <w:rsid w:val="00947695"/>
    <w:rsid w:val="00951D2D"/>
    <w:rsid w:val="00952B83"/>
    <w:rsid w:val="00953A68"/>
    <w:rsid w:val="00954E90"/>
    <w:rsid w:val="00956B83"/>
    <w:rsid w:val="00970295"/>
    <w:rsid w:val="009708B0"/>
    <w:rsid w:val="00970E47"/>
    <w:rsid w:val="009714AA"/>
    <w:rsid w:val="0097157F"/>
    <w:rsid w:val="00973BF7"/>
    <w:rsid w:val="0098052F"/>
    <w:rsid w:val="0098736C"/>
    <w:rsid w:val="00987C44"/>
    <w:rsid w:val="00990680"/>
    <w:rsid w:val="00994357"/>
    <w:rsid w:val="00995A19"/>
    <w:rsid w:val="00995D50"/>
    <w:rsid w:val="009A0C00"/>
    <w:rsid w:val="009B1413"/>
    <w:rsid w:val="009B6A1C"/>
    <w:rsid w:val="009D057D"/>
    <w:rsid w:val="009E1B3E"/>
    <w:rsid w:val="009E59A2"/>
    <w:rsid w:val="009F3867"/>
    <w:rsid w:val="009F3F85"/>
    <w:rsid w:val="009F7C33"/>
    <w:rsid w:val="00A0061A"/>
    <w:rsid w:val="00A03E59"/>
    <w:rsid w:val="00A12E6F"/>
    <w:rsid w:val="00A12FB0"/>
    <w:rsid w:val="00A2459B"/>
    <w:rsid w:val="00A27B18"/>
    <w:rsid w:val="00A321C2"/>
    <w:rsid w:val="00A331A8"/>
    <w:rsid w:val="00A3663E"/>
    <w:rsid w:val="00A41CB8"/>
    <w:rsid w:val="00A42B17"/>
    <w:rsid w:val="00A51FB8"/>
    <w:rsid w:val="00A52458"/>
    <w:rsid w:val="00A5417C"/>
    <w:rsid w:val="00A75C96"/>
    <w:rsid w:val="00A7624F"/>
    <w:rsid w:val="00A77465"/>
    <w:rsid w:val="00A907D5"/>
    <w:rsid w:val="00A9112C"/>
    <w:rsid w:val="00A93445"/>
    <w:rsid w:val="00A93449"/>
    <w:rsid w:val="00A9408D"/>
    <w:rsid w:val="00A9781C"/>
    <w:rsid w:val="00AA5CA5"/>
    <w:rsid w:val="00AB009C"/>
    <w:rsid w:val="00AB0903"/>
    <w:rsid w:val="00AB0AA3"/>
    <w:rsid w:val="00AB43F6"/>
    <w:rsid w:val="00AB555B"/>
    <w:rsid w:val="00AB5690"/>
    <w:rsid w:val="00AC1895"/>
    <w:rsid w:val="00AC3F8E"/>
    <w:rsid w:val="00AC5A1B"/>
    <w:rsid w:val="00AD07FC"/>
    <w:rsid w:val="00AD18A8"/>
    <w:rsid w:val="00AD4B17"/>
    <w:rsid w:val="00AD77AE"/>
    <w:rsid w:val="00AE1766"/>
    <w:rsid w:val="00AE18A1"/>
    <w:rsid w:val="00AE7BE8"/>
    <w:rsid w:val="00AF2A27"/>
    <w:rsid w:val="00B051FB"/>
    <w:rsid w:val="00B05AB4"/>
    <w:rsid w:val="00B109F7"/>
    <w:rsid w:val="00B20210"/>
    <w:rsid w:val="00B20966"/>
    <w:rsid w:val="00B273E9"/>
    <w:rsid w:val="00B27403"/>
    <w:rsid w:val="00B27647"/>
    <w:rsid w:val="00B27BA9"/>
    <w:rsid w:val="00B33D33"/>
    <w:rsid w:val="00B37CEF"/>
    <w:rsid w:val="00B517CD"/>
    <w:rsid w:val="00B573CB"/>
    <w:rsid w:val="00B60C79"/>
    <w:rsid w:val="00B61047"/>
    <w:rsid w:val="00B64BA9"/>
    <w:rsid w:val="00B662A4"/>
    <w:rsid w:val="00B67C6B"/>
    <w:rsid w:val="00B71F47"/>
    <w:rsid w:val="00B72241"/>
    <w:rsid w:val="00B7510A"/>
    <w:rsid w:val="00B76B34"/>
    <w:rsid w:val="00B77FC4"/>
    <w:rsid w:val="00B8551E"/>
    <w:rsid w:val="00B906E9"/>
    <w:rsid w:val="00B963B3"/>
    <w:rsid w:val="00BA3832"/>
    <w:rsid w:val="00BA57F7"/>
    <w:rsid w:val="00BA68B3"/>
    <w:rsid w:val="00BB032D"/>
    <w:rsid w:val="00BC1917"/>
    <w:rsid w:val="00BC1CB9"/>
    <w:rsid w:val="00BC6688"/>
    <w:rsid w:val="00BC688E"/>
    <w:rsid w:val="00BC6AC5"/>
    <w:rsid w:val="00BC74B6"/>
    <w:rsid w:val="00BC7A80"/>
    <w:rsid w:val="00BD1099"/>
    <w:rsid w:val="00BD4F9E"/>
    <w:rsid w:val="00BD60A9"/>
    <w:rsid w:val="00BE482F"/>
    <w:rsid w:val="00BF3D73"/>
    <w:rsid w:val="00BF4A02"/>
    <w:rsid w:val="00BF55A2"/>
    <w:rsid w:val="00BF60A7"/>
    <w:rsid w:val="00BF613C"/>
    <w:rsid w:val="00BF68EB"/>
    <w:rsid w:val="00BF6B60"/>
    <w:rsid w:val="00BF7498"/>
    <w:rsid w:val="00C02361"/>
    <w:rsid w:val="00C069A7"/>
    <w:rsid w:val="00C07EF9"/>
    <w:rsid w:val="00C12C12"/>
    <w:rsid w:val="00C13174"/>
    <w:rsid w:val="00C1479B"/>
    <w:rsid w:val="00C1506E"/>
    <w:rsid w:val="00C173A8"/>
    <w:rsid w:val="00C2242B"/>
    <w:rsid w:val="00C244FB"/>
    <w:rsid w:val="00C324F8"/>
    <w:rsid w:val="00C3296F"/>
    <w:rsid w:val="00C33E11"/>
    <w:rsid w:val="00C35EBA"/>
    <w:rsid w:val="00C407EE"/>
    <w:rsid w:val="00C41E50"/>
    <w:rsid w:val="00C43C83"/>
    <w:rsid w:val="00C51028"/>
    <w:rsid w:val="00C627BD"/>
    <w:rsid w:val="00C70779"/>
    <w:rsid w:val="00C74DCA"/>
    <w:rsid w:val="00C7705E"/>
    <w:rsid w:val="00C84FE2"/>
    <w:rsid w:val="00C8597C"/>
    <w:rsid w:val="00C8652C"/>
    <w:rsid w:val="00C86BD4"/>
    <w:rsid w:val="00C913D9"/>
    <w:rsid w:val="00C93868"/>
    <w:rsid w:val="00CB303B"/>
    <w:rsid w:val="00CC466B"/>
    <w:rsid w:val="00CD116C"/>
    <w:rsid w:val="00CD25AC"/>
    <w:rsid w:val="00CE74A4"/>
    <w:rsid w:val="00CF406F"/>
    <w:rsid w:val="00CF503C"/>
    <w:rsid w:val="00CF5204"/>
    <w:rsid w:val="00CF63BC"/>
    <w:rsid w:val="00CF6804"/>
    <w:rsid w:val="00D0080A"/>
    <w:rsid w:val="00D14526"/>
    <w:rsid w:val="00D16EED"/>
    <w:rsid w:val="00D21E2D"/>
    <w:rsid w:val="00D24DBA"/>
    <w:rsid w:val="00D306FD"/>
    <w:rsid w:val="00D36969"/>
    <w:rsid w:val="00D36EE3"/>
    <w:rsid w:val="00D3748E"/>
    <w:rsid w:val="00D40817"/>
    <w:rsid w:val="00D50763"/>
    <w:rsid w:val="00D52C0F"/>
    <w:rsid w:val="00D71D36"/>
    <w:rsid w:val="00D72AAD"/>
    <w:rsid w:val="00D74BA4"/>
    <w:rsid w:val="00D81FC7"/>
    <w:rsid w:val="00D843EA"/>
    <w:rsid w:val="00D84960"/>
    <w:rsid w:val="00D87C57"/>
    <w:rsid w:val="00D911A4"/>
    <w:rsid w:val="00D92155"/>
    <w:rsid w:val="00D97AAA"/>
    <w:rsid w:val="00DA0AD6"/>
    <w:rsid w:val="00DA2758"/>
    <w:rsid w:val="00DA79A7"/>
    <w:rsid w:val="00DB4B9E"/>
    <w:rsid w:val="00DB6875"/>
    <w:rsid w:val="00DD0584"/>
    <w:rsid w:val="00DD18BF"/>
    <w:rsid w:val="00DD2F18"/>
    <w:rsid w:val="00DD75ED"/>
    <w:rsid w:val="00DE52A9"/>
    <w:rsid w:val="00DE5306"/>
    <w:rsid w:val="00DE6689"/>
    <w:rsid w:val="00DF3974"/>
    <w:rsid w:val="00DF45CF"/>
    <w:rsid w:val="00DF48CE"/>
    <w:rsid w:val="00DF7FDA"/>
    <w:rsid w:val="00E00E9E"/>
    <w:rsid w:val="00E03B75"/>
    <w:rsid w:val="00E06CCD"/>
    <w:rsid w:val="00E12AB3"/>
    <w:rsid w:val="00E140E4"/>
    <w:rsid w:val="00E15958"/>
    <w:rsid w:val="00E2251C"/>
    <w:rsid w:val="00E248B9"/>
    <w:rsid w:val="00E2530E"/>
    <w:rsid w:val="00E32278"/>
    <w:rsid w:val="00E34A35"/>
    <w:rsid w:val="00E432D0"/>
    <w:rsid w:val="00E53C0A"/>
    <w:rsid w:val="00E54E09"/>
    <w:rsid w:val="00E57728"/>
    <w:rsid w:val="00E74C19"/>
    <w:rsid w:val="00E85DC2"/>
    <w:rsid w:val="00E922B7"/>
    <w:rsid w:val="00EB00D2"/>
    <w:rsid w:val="00EB21CE"/>
    <w:rsid w:val="00EB3160"/>
    <w:rsid w:val="00EB50DC"/>
    <w:rsid w:val="00EB7889"/>
    <w:rsid w:val="00EC06C7"/>
    <w:rsid w:val="00EC1264"/>
    <w:rsid w:val="00ED2B9D"/>
    <w:rsid w:val="00EF5308"/>
    <w:rsid w:val="00EF7B7C"/>
    <w:rsid w:val="00F02C10"/>
    <w:rsid w:val="00F06ADB"/>
    <w:rsid w:val="00F0702B"/>
    <w:rsid w:val="00F105BE"/>
    <w:rsid w:val="00F21E4B"/>
    <w:rsid w:val="00F24706"/>
    <w:rsid w:val="00F3542B"/>
    <w:rsid w:val="00F422BB"/>
    <w:rsid w:val="00F44B59"/>
    <w:rsid w:val="00F50383"/>
    <w:rsid w:val="00F50D77"/>
    <w:rsid w:val="00F519AE"/>
    <w:rsid w:val="00F61F63"/>
    <w:rsid w:val="00F63444"/>
    <w:rsid w:val="00F650CF"/>
    <w:rsid w:val="00F65372"/>
    <w:rsid w:val="00F8302C"/>
    <w:rsid w:val="00F853CD"/>
    <w:rsid w:val="00F93889"/>
    <w:rsid w:val="00FA495C"/>
    <w:rsid w:val="00FA5703"/>
    <w:rsid w:val="00FB0F19"/>
    <w:rsid w:val="00FB191E"/>
    <w:rsid w:val="00FC3A48"/>
    <w:rsid w:val="00FC42FB"/>
    <w:rsid w:val="00FD00AB"/>
    <w:rsid w:val="00FE18E4"/>
    <w:rsid w:val="00FE7E76"/>
    <w:rsid w:val="00FF05B9"/>
    <w:rsid w:val="00FF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584"/>
  </w:style>
  <w:style w:type="paragraph" w:styleId="Nadpis1">
    <w:name w:val="heading 1"/>
    <w:basedOn w:val="Normln"/>
    <w:next w:val="Normln"/>
    <w:link w:val="Nadpis1Char"/>
    <w:uiPriority w:val="9"/>
    <w:qFormat/>
    <w:rsid w:val="00793A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3A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14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14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9314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9314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793A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93A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793A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93A9F"/>
    <w:pPr>
      <w:tabs>
        <w:tab w:val="right" w:leader="dot" w:pos="9062"/>
      </w:tabs>
      <w:spacing w:after="100"/>
      <w:ind w:left="0" w:firstLine="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793A9F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793A9F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793A9F"/>
    <w:rPr>
      <w:color w:val="0000FF" w:themeColor="hyperlink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793A9F"/>
    <w:pPr>
      <w:numPr>
        <w:ilvl w:val="1"/>
      </w:numPr>
      <w:ind w:left="714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793A9F"/>
    <w:pPr>
      <w:spacing w:after="100"/>
      <w:ind w:left="0"/>
    </w:pPr>
  </w:style>
  <w:style w:type="character" w:customStyle="1" w:styleId="PodtitulChar">
    <w:name w:val="Podtitul Char"/>
    <w:basedOn w:val="Standardnpsmoodstavce"/>
    <w:link w:val="Podtitul"/>
    <w:uiPriority w:val="11"/>
    <w:rsid w:val="00793A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93A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93A9F"/>
    <w:pPr>
      <w:spacing w:line="276" w:lineRule="auto"/>
      <w:ind w:left="0" w:firstLine="0"/>
      <w:jc w:val="left"/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93A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3A9F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793A9F"/>
    <w:rPr>
      <w:i/>
      <w:iCs/>
    </w:rPr>
  </w:style>
  <w:style w:type="paragraph" w:styleId="Odstavecseseznamem">
    <w:name w:val="List Paragraph"/>
    <w:basedOn w:val="Normln"/>
    <w:uiPriority w:val="34"/>
    <w:qFormat/>
    <w:rsid w:val="0042362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2362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362F"/>
  </w:style>
  <w:style w:type="paragraph" w:styleId="Zpat">
    <w:name w:val="footer"/>
    <w:basedOn w:val="Normln"/>
    <w:link w:val="ZpatChar"/>
    <w:uiPriority w:val="99"/>
    <w:unhideWhenUsed/>
    <w:rsid w:val="0042362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62F"/>
  </w:style>
  <w:style w:type="character" w:customStyle="1" w:styleId="unicode">
    <w:name w:val="unicode"/>
    <w:basedOn w:val="Standardnpsmoodstavce"/>
    <w:rsid w:val="00BC6AC5"/>
  </w:style>
  <w:style w:type="paragraph" w:styleId="Seznamsodrkami3">
    <w:name w:val="List Bullet 3"/>
    <w:basedOn w:val="Normln"/>
    <w:autoRedefine/>
    <w:semiHidden/>
    <w:rsid w:val="00C173A8"/>
    <w:pPr>
      <w:numPr>
        <w:numId w:val="5"/>
      </w:numPr>
      <w:spacing w:line="240" w:lineRule="auto"/>
      <w:jc w:val="left"/>
    </w:pPr>
    <w:rPr>
      <w:rFonts w:ascii="Arial Narrow" w:eastAsia="Times New Roman" w:hAnsi="Arial Narrow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173A8"/>
    <w:pPr>
      <w:spacing w:after="120" w:line="240" w:lineRule="auto"/>
      <w:ind w:left="0" w:firstLine="0"/>
      <w:jc w:val="left"/>
    </w:pPr>
    <w:rPr>
      <w:rFonts w:ascii="Arial Narrow" w:eastAsia="Times New Roman" w:hAnsi="Arial Narrow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173A8"/>
    <w:rPr>
      <w:rFonts w:ascii="Arial Narrow" w:eastAsia="Times New Roman" w:hAnsi="Arial Narrow" w:cs="Times New Roman"/>
      <w:szCs w:val="20"/>
      <w:lang w:eastAsia="cs-CZ"/>
    </w:rPr>
  </w:style>
  <w:style w:type="paragraph" w:customStyle="1" w:styleId="Zkladntext28">
    <w:name w:val="Základní text 28"/>
    <w:basedOn w:val="Normln"/>
    <w:rsid w:val="00E34A35"/>
    <w:pPr>
      <w:overflowPunct w:val="0"/>
      <w:autoSpaceDE w:val="0"/>
      <w:autoSpaceDN w:val="0"/>
      <w:adjustRightInd w:val="0"/>
      <w:spacing w:line="240" w:lineRule="auto"/>
      <w:ind w:left="0" w:firstLine="708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an\AppData\Roaming\Microsoft\&#352;ablony\Technick&#225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FC76B-D7CA-4846-9E69-D6948839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zpráva.dotx</Template>
  <TotalTime>156</TotalTime>
  <Pages>4</Pages>
  <Words>2042</Words>
  <Characters>12048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/>
      <vt:lpstr>        Předpokládané vnější vlivy</vt:lpstr>
      <vt:lpstr>        Napájecí Soustava</vt:lpstr>
      <vt:lpstr>        Energetická bilance objektu a měření </vt:lpstr>
      <vt:lpstr>        </vt:lpstr>
      <vt:lpstr>        Záměr akce </vt:lpstr>
      <vt:lpstr>        Technické řešení </vt:lpstr>
      <vt:lpstr>        Závěr</vt:lpstr>
    </vt:vector>
  </TitlesOfParts>
  <Company>SELM</Company>
  <LinksUpToDate>false</LinksUpToDate>
  <CharactersWithSpaces>14062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-</dc:creator>
  <cp:lastModifiedBy>Milan Šafář</cp:lastModifiedBy>
  <cp:revision>9</cp:revision>
  <cp:lastPrinted>2019-11-01T09:28:00Z</cp:lastPrinted>
  <dcterms:created xsi:type="dcterms:W3CDTF">2019-10-31T07:50:00Z</dcterms:created>
  <dcterms:modified xsi:type="dcterms:W3CDTF">2019-11-13T14:11:00Z</dcterms:modified>
</cp:coreProperties>
</file>