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43AAF619" w:rsidR="007F0FAC" w:rsidRPr="00D626F0" w:rsidRDefault="009A45EA" w:rsidP="00D626F0">
      <w:pPr>
        <w:spacing w:before="120" w:after="0"/>
        <w:ind w:left="765" w:hanging="765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r w:rsidR="003C4B50" w:rsidRPr="003C4B50">
        <w:rPr>
          <w:rFonts w:ascii="Arial" w:eastAsia="Arial" w:hAnsi="Arial" w:cs="Arial"/>
          <w:b/>
          <w:bCs/>
        </w:rPr>
        <w:t>Odstranění havarijního stavu hromosvodů v objektu Příbramská 1911/32, Děčín IV, Tržní 1932/06, Děčín IV a Mírové náměstí 242, Děčín IV.</w:t>
      </w:r>
    </w:p>
    <w:p w14:paraId="54EB499E" w14:textId="2CD9B622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626F0">
        <w:rPr>
          <w:rFonts w:ascii="Arial" w:eastAsia="Arial" w:hAnsi="Arial" w:cs="Arial"/>
        </w:rPr>
        <w:t>stavební práce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0A2CE080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4112CD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65201C" w:rsidRPr="004112CD">
          <w:rPr>
            <w:rStyle w:val="Hypertextovodkaz"/>
            <w:rFonts w:ascii="Arial" w:hAnsi="Arial" w:cs="Arial"/>
            <w:sz w:val="20"/>
            <w:szCs w:val="20"/>
          </w:rPr>
          <w:t>https://zakazky.mmdecin.cz/vz00</w:t>
        </w:r>
        <w:r w:rsidR="00973A57">
          <w:rPr>
            <w:rStyle w:val="Hypertextovodkaz"/>
            <w:rFonts w:ascii="Arial" w:hAnsi="Arial" w:cs="Arial"/>
            <w:sz w:val="20"/>
            <w:szCs w:val="20"/>
          </w:rPr>
          <w:t>000</w:t>
        </w:r>
        <w:r w:rsidR="003C4B50">
          <w:rPr>
            <w:rStyle w:val="Hypertextovodkaz"/>
            <w:rFonts w:ascii="Arial" w:hAnsi="Arial" w:cs="Arial"/>
            <w:sz w:val="20"/>
            <w:szCs w:val="20"/>
          </w:rPr>
          <w:t>475</w:t>
        </w:r>
      </w:hyperlink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0A7F13F" w14:textId="53DB77CD" w:rsidR="00E97ED9" w:rsidRDefault="005C1A6D" w:rsidP="00571CF5">
      <w:pPr>
        <w:widowControl w:val="0"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</w:t>
      </w:r>
      <w:r w:rsidR="00E97ED9">
        <w:rPr>
          <w:rFonts w:ascii="Arial" w:eastAsia="Arial" w:hAnsi="Arial" w:cs="Arial"/>
          <w:sz w:val="20"/>
          <w:szCs w:val="20"/>
        </w:rPr>
        <w:t xml:space="preserve"> skládající se z</w:t>
      </w:r>
      <w:r w:rsidR="003C4B50">
        <w:rPr>
          <w:rFonts w:ascii="Arial" w:eastAsia="Arial" w:hAnsi="Arial" w:cs="Arial"/>
          <w:sz w:val="20"/>
          <w:szCs w:val="20"/>
        </w:rPr>
        <w:t> jednoho kritéria</w:t>
      </w:r>
    </w:p>
    <w:p w14:paraId="4B775105" w14:textId="22D9C1D2" w:rsidR="005C1A6D" w:rsidRDefault="005C1A6D" w:rsidP="00E97ED9">
      <w:pPr>
        <w:pStyle w:val="Odstavecseseznamem"/>
        <w:widowControl w:val="0"/>
        <w:numPr>
          <w:ilvl w:val="0"/>
          <w:numId w:val="17"/>
        </w:num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97ED9">
        <w:rPr>
          <w:rFonts w:ascii="Arial" w:eastAsia="Arial" w:hAnsi="Arial" w:cs="Arial"/>
          <w:sz w:val="20"/>
          <w:szCs w:val="20"/>
        </w:rPr>
        <w:t xml:space="preserve"> </w:t>
      </w:r>
      <w:r w:rsidR="009A45EA" w:rsidRPr="00E97ED9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E97ED9">
        <w:rPr>
          <w:rFonts w:ascii="Arial" w:eastAsia="Arial" w:hAnsi="Arial" w:cs="Arial"/>
          <w:sz w:val="20"/>
          <w:szCs w:val="20"/>
        </w:rPr>
        <w:t xml:space="preserve"> 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E64C35C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7ED9" w:rsidRPr="00065E11" w14:paraId="5980A2A8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91AB6" w14:textId="59DAD323" w:rsidR="00E97ED9" w:rsidRPr="00065E11" w:rsidRDefault="003C4B50" w:rsidP="00E97ED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Tržní 1932/26 Děčín IV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D5293E8" w14:textId="45A03811" w:rsidR="00E97ED9" w:rsidRPr="00065E11" w:rsidRDefault="00E97ED9" w:rsidP="00E97ED9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400F250" w14:textId="16F5EF88" w:rsidR="00E97ED9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35CC865" w14:textId="77777777" w:rsidR="00E97ED9" w:rsidRPr="00065E11" w:rsidRDefault="00E97ED9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4B50" w:rsidRPr="00065E11" w14:paraId="6DB806F8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8A71C" w14:textId="69A1768D" w:rsidR="003C4B50" w:rsidRPr="00065E11" w:rsidRDefault="003C4B50" w:rsidP="00E97ED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Příbramská 1911/32 Děčín IV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43F9991" w14:textId="77777777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6F31296" w14:textId="4D5217DB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61CE634" w14:textId="77777777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4B50" w:rsidRPr="00065E11" w14:paraId="4BCCDD8F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E3F40" w14:textId="70198C77" w:rsidR="003C4B50" w:rsidRPr="00065E11" w:rsidRDefault="003C4B50" w:rsidP="00E97ED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Mírové náměstí 242 Děčín IV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11D20EA" w14:textId="77777777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584805B" w14:textId="6C3D1E93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73D0A9D" w14:textId="77777777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4B50" w:rsidRPr="00065E11" w14:paraId="579ACEA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5F70D" w14:textId="77777777" w:rsidR="003C4B50" w:rsidRPr="00065E11" w:rsidRDefault="003C4B50" w:rsidP="00E97ED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5336313" w14:textId="77777777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6C8FF8" w14:textId="77777777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2DBDC2F" w14:textId="77777777" w:rsidR="003C4B50" w:rsidRPr="00065E11" w:rsidRDefault="003C4B50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023C12">
      <w:pPr>
        <w:pStyle w:val="Odstavecseseznamem"/>
        <w:numPr>
          <w:ilvl w:val="0"/>
          <w:numId w:val="13"/>
        </w:numPr>
        <w:spacing w:before="120" w:after="0" w:line="288" w:lineRule="auto"/>
        <w:ind w:left="567" w:hanging="28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559E55BE" w:rsidR="009A45EA" w:rsidRPr="0065201C" w:rsidRDefault="008662D7" w:rsidP="00CD0CBD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</w:t>
      </w:r>
      <w:r w:rsidR="00904BF0">
        <w:rPr>
          <w:rFonts w:ascii="Arial" w:eastAsia="Arial" w:hAnsi="Arial" w:cs="Arial"/>
          <w:sz w:val="20"/>
          <w:szCs w:val="20"/>
        </w:rPr>
        <w:t xml:space="preserve"> </w:t>
      </w:r>
      <w:r w:rsidR="00904BF0" w:rsidRPr="00904BF0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</w:t>
      </w:r>
      <w:r w:rsidR="0065201C">
        <w:rPr>
          <w:rFonts w:ascii="Arial" w:eastAsia="Arial" w:hAnsi="Arial" w:cs="Arial"/>
          <w:sz w:val="20"/>
          <w:szCs w:val="20"/>
        </w:rPr>
        <w:t xml:space="preserve"> v oboru – </w:t>
      </w:r>
      <w:r w:rsidR="0065201C" w:rsidRPr="00B7522E">
        <w:rPr>
          <w:rFonts w:ascii="Arial" w:eastAsia="Arial" w:hAnsi="Arial" w:cs="Arial"/>
          <w:b/>
          <w:sz w:val="20"/>
          <w:szCs w:val="20"/>
        </w:rPr>
        <w:t>Provádění staveb, jejich změn a odstraňování</w:t>
      </w:r>
      <w:r w:rsidR="0065201C">
        <w:rPr>
          <w:rFonts w:ascii="Arial" w:eastAsia="Arial" w:hAnsi="Arial" w:cs="Arial"/>
          <w:b/>
          <w:sz w:val="20"/>
          <w:szCs w:val="20"/>
        </w:rPr>
        <w:t>.</w:t>
      </w:r>
    </w:p>
    <w:p w14:paraId="4F5BC123" w14:textId="7777777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lastRenderedPageBreak/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BE7259" w14:textId="77777777" w:rsidR="00D626F0" w:rsidRPr="007F0FAC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4A34889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C03F3" w14:textId="77777777" w:rsidR="001656A4" w:rsidRDefault="001656A4">
      <w:pPr>
        <w:spacing w:after="0" w:line="240" w:lineRule="auto"/>
      </w:pPr>
      <w:r>
        <w:separator/>
      </w:r>
    </w:p>
  </w:endnote>
  <w:endnote w:type="continuationSeparator" w:id="0">
    <w:p w14:paraId="2DD97D93" w14:textId="77777777" w:rsidR="001656A4" w:rsidRDefault="0016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234C" w14:textId="77777777" w:rsidR="001656A4" w:rsidRDefault="001656A4">
      <w:pPr>
        <w:spacing w:after="0" w:line="240" w:lineRule="auto"/>
      </w:pPr>
      <w:r>
        <w:separator/>
      </w:r>
    </w:p>
  </w:footnote>
  <w:footnote w:type="continuationSeparator" w:id="0">
    <w:p w14:paraId="10B93F6B" w14:textId="77777777" w:rsidR="001656A4" w:rsidRDefault="0016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4439A"/>
    <w:multiLevelType w:val="hybridMultilevel"/>
    <w:tmpl w:val="3BA8F68C"/>
    <w:lvl w:ilvl="0" w:tplc="5880B892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5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8"/>
  </w:num>
  <w:num w:numId="10" w16cid:durableId="2122532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6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91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23C12"/>
    <w:rsid w:val="000468AF"/>
    <w:rsid w:val="00065E11"/>
    <w:rsid w:val="00073204"/>
    <w:rsid w:val="00087032"/>
    <w:rsid w:val="000B1A64"/>
    <w:rsid w:val="000C43CC"/>
    <w:rsid w:val="0010036A"/>
    <w:rsid w:val="00110624"/>
    <w:rsid w:val="00142EC6"/>
    <w:rsid w:val="001656A4"/>
    <w:rsid w:val="001B34EB"/>
    <w:rsid w:val="0020769C"/>
    <w:rsid w:val="002266D1"/>
    <w:rsid w:val="00226C0E"/>
    <w:rsid w:val="00243025"/>
    <w:rsid w:val="002512DF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C4B50"/>
    <w:rsid w:val="003F5D87"/>
    <w:rsid w:val="003F7BD5"/>
    <w:rsid w:val="004112CD"/>
    <w:rsid w:val="0042698C"/>
    <w:rsid w:val="00433539"/>
    <w:rsid w:val="0044259D"/>
    <w:rsid w:val="00456636"/>
    <w:rsid w:val="0055291F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F1F5C"/>
    <w:rsid w:val="00772BA1"/>
    <w:rsid w:val="007908E2"/>
    <w:rsid w:val="007A1882"/>
    <w:rsid w:val="007F0FAC"/>
    <w:rsid w:val="008662D7"/>
    <w:rsid w:val="00870BCA"/>
    <w:rsid w:val="00873B9F"/>
    <w:rsid w:val="00887D60"/>
    <w:rsid w:val="008E4141"/>
    <w:rsid w:val="00904BF0"/>
    <w:rsid w:val="00973A57"/>
    <w:rsid w:val="00982DB4"/>
    <w:rsid w:val="009A45EA"/>
    <w:rsid w:val="009E64D9"/>
    <w:rsid w:val="00A26152"/>
    <w:rsid w:val="00A304C2"/>
    <w:rsid w:val="00A64023"/>
    <w:rsid w:val="00AC2B9B"/>
    <w:rsid w:val="00AD058C"/>
    <w:rsid w:val="00AF0227"/>
    <w:rsid w:val="00AF3159"/>
    <w:rsid w:val="00B25BBF"/>
    <w:rsid w:val="00B26C7A"/>
    <w:rsid w:val="00B3116D"/>
    <w:rsid w:val="00B42882"/>
    <w:rsid w:val="00B446BB"/>
    <w:rsid w:val="00B514C9"/>
    <w:rsid w:val="00B64DE2"/>
    <w:rsid w:val="00B80790"/>
    <w:rsid w:val="00BC61E6"/>
    <w:rsid w:val="00C0025F"/>
    <w:rsid w:val="00C13EE1"/>
    <w:rsid w:val="00C20E8E"/>
    <w:rsid w:val="00CB13EB"/>
    <w:rsid w:val="00CB7C4F"/>
    <w:rsid w:val="00CC17C1"/>
    <w:rsid w:val="00CC283B"/>
    <w:rsid w:val="00CD0CBD"/>
    <w:rsid w:val="00D014DF"/>
    <w:rsid w:val="00D06029"/>
    <w:rsid w:val="00D25122"/>
    <w:rsid w:val="00D27BF0"/>
    <w:rsid w:val="00D479AB"/>
    <w:rsid w:val="00D626F0"/>
    <w:rsid w:val="00DB356C"/>
    <w:rsid w:val="00E02872"/>
    <w:rsid w:val="00E04989"/>
    <w:rsid w:val="00E21C57"/>
    <w:rsid w:val="00E430CE"/>
    <w:rsid w:val="00E641EB"/>
    <w:rsid w:val="00E85D52"/>
    <w:rsid w:val="00E97ED9"/>
    <w:rsid w:val="00EA06DF"/>
    <w:rsid w:val="00EC53D8"/>
    <w:rsid w:val="00EE3927"/>
    <w:rsid w:val="00F36A93"/>
    <w:rsid w:val="00F77689"/>
    <w:rsid w:val="00F83E00"/>
    <w:rsid w:val="00FA556E"/>
    <w:rsid w:val="00FB13E8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3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Kolářová Lada</cp:lastModifiedBy>
  <cp:revision>2</cp:revision>
  <cp:lastPrinted>2025-04-01T10:55:00Z</cp:lastPrinted>
  <dcterms:created xsi:type="dcterms:W3CDTF">2025-06-09T15:18:00Z</dcterms:created>
  <dcterms:modified xsi:type="dcterms:W3CDTF">2025-06-09T15:18:00Z</dcterms:modified>
</cp:coreProperties>
</file>