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D906" w14:textId="77777777"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14:paraId="18B9A608" w14:textId="77777777"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14:paraId="25233522" w14:textId="0523A1D5" w:rsidR="00652F43" w:rsidRPr="00FB0A5A" w:rsidRDefault="00D27BF0" w:rsidP="00001475">
      <w:pPr>
        <w:spacing w:before="40" w:after="40"/>
        <w:rPr>
          <w:rFonts w:ascii="Arial" w:eastAsia="Arial" w:hAnsi="Arial" w:cs="Arial"/>
          <w:b/>
          <w:sz w:val="20"/>
          <w:szCs w:val="20"/>
        </w:rPr>
      </w:pPr>
      <w:r w:rsidRPr="00FB0A5A">
        <w:rPr>
          <w:rFonts w:ascii="Arial" w:eastAsia="Arial" w:hAnsi="Arial" w:cs="Arial"/>
          <w:sz w:val="20"/>
          <w:szCs w:val="20"/>
        </w:rPr>
        <w:t xml:space="preserve">Název: </w:t>
      </w:r>
      <w:r w:rsidR="00642656" w:rsidRPr="00642656">
        <w:rPr>
          <w:rFonts w:ascii="Arial" w:eastAsia="Arial" w:hAnsi="Arial" w:cs="Arial"/>
          <w:b/>
          <w:sz w:val="20"/>
          <w:szCs w:val="20"/>
        </w:rPr>
        <w:t xml:space="preserve">Úprava sítě veřejného osvětlení- Děčín VII – </w:t>
      </w:r>
      <w:proofErr w:type="spellStart"/>
      <w:r w:rsidR="00642656" w:rsidRPr="00642656">
        <w:rPr>
          <w:rFonts w:ascii="Arial" w:eastAsia="Arial" w:hAnsi="Arial" w:cs="Arial"/>
          <w:b/>
          <w:sz w:val="20"/>
          <w:szCs w:val="20"/>
        </w:rPr>
        <w:t>Chrochvice</w:t>
      </w:r>
      <w:proofErr w:type="spellEnd"/>
      <w:r w:rsidR="00642656" w:rsidRPr="00642656">
        <w:rPr>
          <w:rFonts w:ascii="Arial" w:eastAsia="Arial" w:hAnsi="Arial" w:cs="Arial"/>
          <w:b/>
          <w:sz w:val="20"/>
          <w:szCs w:val="20"/>
        </w:rPr>
        <w:t xml:space="preserve">, ulice </w:t>
      </w:r>
      <w:r w:rsidR="00413AD4">
        <w:rPr>
          <w:rFonts w:ascii="Arial" w:eastAsia="Arial" w:hAnsi="Arial" w:cs="Arial"/>
          <w:b/>
          <w:sz w:val="20"/>
          <w:szCs w:val="20"/>
        </w:rPr>
        <w:t>U Obory</w:t>
      </w:r>
    </w:p>
    <w:p w14:paraId="52BA23FB" w14:textId="77777777" w:rsidR="00652F43" w:rsidRPr="00222E97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222E97">
        <w:rPr>
          <w:rFonts w:ascii="Arial" w:eastAsia="Arial" w:hAnsi="Arial" w:cs="Arial"/>
          <w:sz w:val="20"/>
          <w:szCs w:val="20"/>
        </w:rPr>
        <w:t>stavební práce</w:t>
      </w:r>
    </w:p>
    <w:p w14:paraId="4A032ABA" w14:textId="77777777"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14:paraId="768AF38A" w14:textId="419F9C7D"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bookmarkStart w:id="0" w:name="_Hlk54609733"/>
      <w:r w:rsidR="00222E97" w:rsidRPr="00C615C0">
        <w:rPr>
          <w:rFonts w:cs="Arial"/>
          <w:color w:val="0000FF"/>
        </w:rPr>
        <w:t>https://zakazky.mmdecin.cz/vz</w:t>
      </w:r>
      <w:bookmarkEnd w:id="0"/>
      <w:r w:rsidR="00413AD4">
        <w:rPr>
          <w:rFonts w:cs="Arial"/>
          <w:color w:val="0000FF"/>
        </w:rPr>
        <w:t>5610</w:t>
      </w:r>
    </w:p>
    <w:p w14:paraId="4BADEA65" w14:textId="77777777"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065E11" w14:paraId="02E0E292" w14:textId="77777777" w:rsidTr="006921C0">
        <w:trPr>
          <w:trHeight w:val="227"/>
        </w:trPr>
        <w:tc>
          <w:tcPr>
            <w:tcW w:w="3715" w:type="dxa"/>
          </w:tcPr>
          <w:p w14:paraId="6A0608D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048F273C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14:paraId="7B64A0FD" w14:textId="77777777" w:rsidTr="006921C0">
        <w:trPr>
          <w:trHeight w:val="227"/>
        </w:trPr>
        <w:tc>
          <w:tcPr>
            <w:tcW w:w="3715" w:type="dxa"/>
          </w:tcPr>
          <w:p w14:paraId="0860B03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0055ECA8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8343F4D" w14:textId="77777777" w:rsidTr="006921C0">
        <w:trPr>
          <w:trHeight w:val="227"/>
        </w:trPr>
        <w:tc>
          <w:tcPr>
            <w:tcW w:w="3715" w:type="dxa"/>
          </w:tcPr>
          <w:p w14:paraId="5E81152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14:paraId="19157B9F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48EADB53" w14:textId="77777777" w:rsidTr="006921C0">
        <w:trPr>
          <w:trHeight w:val="227"/>
        </w:trPr>
        <w:tc>
          <w:tcPr>
            <w:tcW w:w="3715" w:type="dxa"/>
          </w:tcPr>
          <w:p w14:paraId="376D642F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7AA93889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29C420C9" w14:textId="77777777" w:rsidTr="006921C0">
        <w:trPr>
          <w:trHeight w:val="227"/>
        </w:trPr>
        <w:tc>
          <w:tcPr>
            <w:tcW w:w="3715" w:type="dxa"/>
          </w:tcPr>
          <w:p w14:paraId="74ECED3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40557707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279F0E4" w14:textId="77777777" w:rsidTr="006921C0">
        <w:trPr>
          <w:trHeight w:val="227"/>
        </w:trPr>
        <w:tc>
          <w:tcPr>
            <w:tcW w:w="3715" w:type="dxa"/>
          </w:tcPr>
          <w:p w14:paraId="642A7F4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D62CDB1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25DE9BB" w14:textId="77777777" w:rsidTr="006921C0">
        <w:trPr>
          <w:trHeight w:val="227"/>
        </w:trPr>
        <w:tc>
          <w:tcPr>
            <w:tcW w:w="3715" w:type="dxa"/>
          </w:tcPr>
          <w:p w14:paraId="7B1B42C0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FDCBD7A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9250E21" w14:textId="77777777" w:rsidTr="006921C0">
        <w:trPr>
          <w:trHeight w:val="227"/>
        </w:trPr>
        <w:tc>
          <w:tcPr>
            <w:tcW w:w="3715" w:type="dxa"/>
          </w:tcPr>
          <w:p w14:paraId="57DC80CD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41461875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9BE8B8" w14:textId="77777777"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14:paraId="413BC7CA" w14:textId="010654D3" w:rsidR="00652F43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14:paraId="6AF0E1AA" w14:textId="77777777" w:rsidR="0022616A" w:rsidRPr="00065E11" w:rsidRDefault="0022616A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14:paraId="2D6C6E45" w14:textId="77777777"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14:paraId="33CF1765" w14:textId="77777777"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2AC15EBA" w14:textId="77777777"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14:paraId="575BC1A9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14:paraId="7621642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7A0C44B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43B54027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14:paraId="1B6AF502" w14:textId="77777777"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14:paraId="71460339" w14:textId="77777777"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5F69613" w14:textId="77777777" w:rsidR="00FB13E8" w:rsidRPr="00B446BB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14:paraId="7FE80DD2" w14:textId="77777777" w:rsidR="00FB13E8" w:rsidRDefault="00FB13E8" w:rsidP="00B446BB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14:paraId="046736F7" w14:textId="77777777" w:rsidR="00B446BB" w:rsidRDefault="00B446BB" w:rsidP="00B446BB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7AA0D2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ÚDAJE PRO HODNOCENÍ</w:t>
      </w:r>
    </w:p>
    <w:p w14:paraId="183C2957" w14:textId="5FB443E8" w:rsidR="00F72770" w:rsidRDefault="00F72770" w:rsidP="00F72770">
      <w:pPr>
        <w:spacing w:before="60"/>
        <w:rPr>
          <w:rFonts w:ascii="Arial" w:eastAsia="Arial" w:hAnsi="Arial" w:cs="Arial"/>
          <w:sz w:val="20"/>
          <w:szCs w:val="20"/>
        </w:rPr>
      </w:pPr>
      <w:bookmarkStart w:id="1" w:name="_Hlk71182914"/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</w:t>
      </w:r>
      <w:r>
        <w:rPr>
          <w:rFonts w:ascii="Arial" w:eastAsia="Arial" w:hAnsi="Arial" w:cs="Arial"/>
          <w:sz w:val="20"/>
          <w:szCs w:val="20"/>
        </w:rPr>
        <w:t xml:space="preserve">na základě </w:t>
      </w:r>
      <w:r w:rsidRPr="00E63C20">
        <w:rPr>
          <w:rFonts w:ascii="Arial" w:eastAsia="Arial" w:hAnsi="Arial" w:cs="Arial"/>
          <w:sz w:val="20"/>
          <w:szCs w:val="20"/>
        </w:rPr>
        <w:t>z dílčích hodnotících kritérií</w:t>
      </w:r>
      <w:r>
        <w:rPr>
          <w:rFonts w:ascii="Arial" w:eastAsia="Arial" w:hAnsi="Arial" w:cs="Arial"/>
          <w:sz w:val="20"/>
          <w:szCs w:val="20"/>
        </w:rPr>
        <w:t>:</w:t>
      </w:r>
      <w:r w:rsidRPr="00E63C20">
        <w:rPr>
          <w:rFonts w:ascii="Arial" w:eastAsia="Arial" w:hAnsi="Arial" w:cs="Arial"/>
          <w:sz w:val="20"/>
          <w:szCs w:val="20"/>
        </w:rPr>
        <w:t xml:space="preserve"> </w:t>
      </w:r>
    </w:p>
    <w:p w14:paraId="5847B5BE" w14:textId="038DBE74" w:rsidR="00F72770" w:rsidRPr="00F72770" w:rsidRDefault="00F72770" w:rsidP="00F72770">
      <w:pPr>
        <w:pStyle w:val="Odstavecseseznamem"/>
        <w:numPr>
          <w:ilvl w:val="0"/>
          <w:numId w:val="15"/>
        </w:numPr>
        <w:spacing w:before="60"/>
        <w:rPr>
          <w:rFonts w:ascii="Arial" w:eastAsia="Arial" w:hAnsi="Arial" w:cs="Arial"/>
          <w:sz w:val="20"/>
          <w:szCs w:val="20"/>
        </w:rPr>
      </w:pPr>
      <w:r w:rsidRPr="00F72770">
        <w:rPr>
          <w:rFonts w:ascii="Arial" w:eastAsia="Arial" w:hAnsi="Arial" w:cs="Arial"/>
          <w:sz w:val="20"/>
          <w:szCs w:val="20"/>
        </w:rPr>
        <w:t>Nabídková cena</w:t>
      </w:r>
    </w:p>
    <w:p w14:paraId="6FD0286D" w14:textId="25F236F8" w:rsidR="00F72770" w:rsidRPr="00F72770" w:rsidRDefault="00F72770" w:rsidP="00F72770">
      <w:pPr>
        <w:pStyle w:val="Odstavecseseznamem"/>
        <w:numPr>
          <w:ilvl w:val="0"/>
          <w:numId w:val="15"/>
        </w:numPr>
        <w:spacing w:before="60"/>
        <w:rPr>
          <w:rFonts w:ascii="Arial" w:eastAsia="Arial" w:hAnsi="Arial" w:cs="Arial"/>
          <w:sz w:val="20"/>
          <w:szCs w:val="20"/>
        </w:rPr>
      </w:pPr>
      <w:r w:rsidRPr="00F72770">
        <w:rPr>
          <w:rFonts w:ascii="Arial" w:eastAsia="Arial" w:hAnsi="Arial" w:cs="Arial"/>
          <w:sz w:val="20"/>
          <w:szCs w:val="20"/>
        </w:rPr>
        <w:t>Doba realizace ve dnech</w:t>
      </w:r>
      <w:r w:rsidR="00AF3A0D">
        <w:rPr>
          <w:rFonts w:ascii="Arial" w:eastAsia="Arial" w:hAnsi="Arial" w:cs="Arial"/>
          <w:sz w:val="20"/>
          <w:szCs w:val="20"/>
        </w:rPr>
        <w:t xml:space="preserve"> </w:t>
      </w:r>
    </w:p>
    <w:bookmarkEnd w:id="1"/>
    <w:p w14:paraId="52143129" w14:textId="77777777" w:rsidR="00F72770" w:rsidRPr="00065E11" w:rsidRDefault="00F72770" w:rsidP="00F7277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172"/>
      </w:tblGrid>
      <w:tr w:rsidR="00F72770" w:rsidRPr="00065E11" w14:paraId="64CBC632" w14:textId="77777777" w:rsidTr="00145F3D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EC463" w14:textId="77777777" w:rsidR="00F72770" w:rsidRPr="00065E11" w:rsidRDefault="00F72770" w:rsidP="00145F3D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109A5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72770" w:rsidRPr="00065E11" w14:paraId="4C6C1F41" w14:textId="77777777" w:rsidTr="00145F3D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F6266" w14:textId="77777777" w:rsidR="00F72770" w:rsidRPr="00065E11" w:rsidRDefault="00F72770" w:rsidP="0014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ED505" w14:textId="77777777" w:rsidR="00F72770" w:rsidRPr="004A0EA5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0EA5">
              <w:rPr>
                <w:rFonts w:ascii="Arial" w:eastAsia="Arial" w:hAnsi="Arial" w:cs="Arial"/>
                <w:bCs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F054B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AFE57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F72770" w:rsidRPr="00065E11" w14:paraId="215CEA29" w14:textId="77777777" w:rsidTr="00145F3D">
        <w:trPr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7DDAC" w14:textId="77777777" w:rsidR="00F72770" w:rsidRPr="00065E11" w:rsidRDefault="00F72770" w:rsidP="00145F3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2000040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15167F54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1B1F7875" w14:textId="77777777" w:rsidR="00F72770" w:rsidRPr="00065E11" w:rsidRDefault="00F72770" w:rsidP="00145F3D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3FCA" w:rsidRPr="00065E11" w14:paraId="654060D6" w14:textId="77777777" w:rsidTr="002E62E0">
        <w:trPr>
          <w:trHeight w:val="533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FEF94" w14:textId="77777777" w:rsidR="00973FCA" w:rsidRPr="00065E11" w:rsidRDefault="00973FCA" w:rsidP="00145F3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realizace ve dnech</w:t>
            </w: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  <w:vAlign w:val="center"/>
          </w:tcPr>
          <w:p w14:paraId="4EB73385" w14:textId="2C487381" w:rsidR="00973FCA" w:rsidRPr="002E62E0" w:rsidRDefault="00973FCA" w:rsidP="00145F3D">
            <w:pPr>
              <w:pStyle w:val="Odstavecseseznamem"/>
              <w:spacing w:before="60" w:after="60"/>
              <w:ind w:left="108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3A5D66B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14:paraId="3C1FCAAC" w14:textId="77777777" w:rsidR="00652F43" w:rsidRPr="00065E11" w:rsidRDefault="00D27BF0" w:rsidP="0020769C">
      <w:pPr>
        <w:pStyle w:val="Odstavecseseznamem"/>
        <w:numPr>
          <w:ilvl w:val="0"/>
          <w:numId w:val="13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14:paraId="2AAEEF71" w14:textId="77777777" w:rsidR="00652F43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 w:rsidR="00142EC6"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14:paraId="14249C6B" w14:textId="77777777" w:rsidR="008662D7" w:rsidRPr="00065E11" w:rsidRDefault="008662D7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14:paraId="5B916A98" w14:textId="77777777" w:rsidR="008662D7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splňuje požadavk</w:t>
      </w:r>
      <w:r w:rsidR="00142EC6">
        <w:rPr>
          <w:rFonts w:ascii="Arial" w:eastAsia="Arial" w:hAnsi="Arial" w:cs="Arial"/>
          <w:sz w:val="20"/>
          <w:szCs w:val="20"/>
        </w:rPr>
        <w:t>y</w:t>
      </w:r>
      <w:r w:rsidRPr="00065E11">
        <w:rPr>
          <w:rFonts w:ascii="Arial" w:eastAsia="Arial" w:hAnsi="Arial" w:cs="Arial"/>
          <w:sz w:val="20"/>
          <w:szCs w:val="20"/>
        </w:rPr>
        <w:t xml:space="preserve"> dle:</w:t>
      </w:r>
    </w:p>
    <w:p w14:paraId="74B32C1F" w14:textId="77777777" w:rsidR="008662D7" w:rsidRPr="00142EC6" w:rsidRDefault="008662D7" w:rsidP="00142EC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1 ZZVZ - výpis z</w:t>
      </w:r>
      <w:r w:rsidR="00065E1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OR</w:t>
      </w:r>
      <w:r w:rsidR="00065E11" w:rsidRPr="00142EC6">
        <w:rPr>
          <w:rFonts w:ascii="Arial" w:eastAsia="Arial" w:hAnsi="Arial" w:cs="Arial"/>
          <w:sz w:val="20"/>
          <w:szCs w:val="20"/>
        </w:rPr>
        <w:t>, pokud je v něm zapsán,</w:t>
      </w:r>
    </w:p>
    <w:p w14:paraId="18B0987A" w14:textId="6F85B4BD" w:rsidR="008662D7" w:rsidRPr="005117E5" w:rsidRDefault="008662D7" w:rsidP="00142EC6">
      <w:pPr>
        <w:pStyle w:val="Odstavecseseznamem"/>
        <w:numPr>
          <w:ilvl w:val="0"/>
          <w:numId w:val="14"/>
        </w:numPr>
        <w:spacing w:before="6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2 písm. b) ZZVZ – živnostenské oprávnění v</w:t>
      </w:r>
      <w:r w:rsidR="00CC17C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oboru</w:t>
      </w:r>
      <w:r w:rsidR="00CC17C1" w:rsidRPr="00142EC6">
        <w:rPr>
          <w:rFonts w:ascii="Arial" w:eastAsia="Arial" w:hAnsi="Arial" w:cs="Arial"/>
          <w:sz w:val="20"/>
          <w:szCs w:val="20"/>
        </w:rPr>
        <w:t xml:space="preserve"> </w:t>
      </w:r>
      <w:r w:rsidR="00642656" w:rsidRPr="005E265A">
        <w:rPr>
          <w:rFonts w:ascii="Arial" w:eastAsia="Arial" w:hAnsi="Arial" w:cs="Arial"/>
          <w:b/>
          <w:sz w:val="20"/>
          <w:szCs w:val="20"/>
        </w:rPr>
        <w:t xml:space="preserve">Provádění staveb, jejich změn a odstraňování </w:t>
      </w:r>
      <w:r w:rsidR="00642656" w:rsidRPr="005E265A">
        <w:rPr>
          <w:rFonts w:ascii="Arial" w:eastAsia="Arial" w:hAnsi="Arial" w:cs="Arial"/>
          <w:bCs/>
          <w:sz w:val="20"/>
          <w:szCs w:val="20"/>
        </w:rPr>
        <w:t xml:space="preserve">nebo </w:t>
      </w:r>
      <w:r w:rsidR="00642656">
        <w:rPr>
          <w:rFonts w:ascii="Arial" w:eastAsia="Arial" w:hAnsi="Arial" w:cs="Arial"/>
          <w:b/>
          <w:sz w:val="20"/>
          <w:szCs w:val="20"/>
        </w:rPr>
        <w:t>M</w:t>
      </w:r>
      <w:r w:rsidR="00642656" w:rsidRPr="005E265A">
        <w:rPr>
          <w:rFonts w:ascii="Arial" w:eastAsia="Arial" w:hAnsi="Arial" w:cs="Arial"/>
          <w:b/>
          <w:sz w:val="20"/>
          <w:szCs w:val="20"/>
        </w:rPr>
        <w:t>ontáž, opravy, revize a zkoušky elektrických zařízení</w:t>
      </w:r>
      <w:r w:rsidRPr="005117E5">
        <w:rPr>
          <w:rFonts w:ascii="Arial" w:eastAsia="Arial" w:hAnsi="Arial" w:cs="Arial"/>
          <w:b/>
          <w:sz w:val="20"/>
          <w:szCs w:val="20"/>
        </w:rPr>
        <w:t>.</w:t>
      </w:r>
    </w:p>
    <w:p w14:paraId="49D6337F" w14:textId="5010B773" w:rsidR="008662D7" w:rsidRPr="005117E5" w:rsidRDefault="008662D7" w:rsidP="00142EC6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117E5">
        <w:rPr>
          <w:rFonts w:ascii="Arial" w:eastAsia="Arial" w:hAnsi="Arial" w:cs="Arial"/>
          <w:sz w:val="20"/>
          <w:szCs w:val="20"/>
        </w:rPr>
        <w:t xml:space="preserve">§ 77 odst. </w:t>
      </w:r>
      <w:r w:rsidR="00065E11" w:rsidRPr="005117E5">
        <w:rPr>
          <w:rFonts w:ascii="Arial" w:eastAsia="Arial" w:hAnsi="Arial" w:cs="Arial"/>
          <w:sz w:val="20"/>
          <w:szCs w:val="20"/>
        </w:rPr>
        <w:t>2 písm. c)</w:t>
      </w:r>
      <w:r w:rsidRPr="005117E5">
        <w:rPr>
          <w:rFonts w:ascii="Arial" w:eastAsia="Arial" w:hAnsi="Arial" w:cs="Arial"/>
          <w:sz w:val="20"/>
          <w:szCs w:val="20"/>
        </w:rPr>
        <w:t xml:space="preserve"> ZZVZ </w:t>
      </w:r>
      <w:r w:rsidR="00065E11" w:rsidRPr="005117E5">
        <w:rPr>
          <w:rFonts w:ascii="Arial" w:eastAsia="Arial" w:hAnsi="Arial" w:cs="Arial"/>
          <w:sz w:val="20"/>
          <w:szCs w:val="20"/>
        </w:rPr>
        <w:t xml:space="preserve">- autorizace v oboru </w:t>
      </w:r>
      <w:r w:rsidR="00642656" w:rsidRPr="00642656">
        <w:rPr>
          <w:rFonts w:ascii="Arial" w:eastAsia="Arial" w:hAnsi="Arial" w:cs="Arial"/>
          <w:sz w:val="20"/>
          <w:szCs w:val="20"/>
        </w:rPr>
        <w:t xml:space="preserve">technika prostředí staveb - elektrotechnická zařízení </w:t>
      </w:r>
      <w:r w:rsidR="00065E11" w:rsidRPr="005117E5">
        <w:rPr>
          <w:rFonts w:ascii="Arial" w:eastAsia="Arial" w:hAnsi="Arial" w:cs="Arial"/>
          <w:sz w:val="20"/>
          <w:szCs w:val="20"/>
        </w:rPr>
        <w:t>– minimálně 1 osoba</w:t>
      </w:r>
    </w:p>
    <w:p w14:paraId="7E913263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14:paraId="2347039E" w14:textId="77777777"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14:paraId="76627D6A" w14:textId="77777777"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3B72547A" w14:textId="77777777"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C1FA7A9" w14:textId="4D2543D2" w:rsidR="0022616A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14:paraId="556FC1FB" w14:textId="77777777" w:rsidR="00CC17C1" w:rsidRPr="00CC17C1" w:rsidRDefault="00CC17C1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14:paraId="7AEC2003" w14:textId="77777777" w:rsidR="00C75D62" w:rsidRPr="00601B0D" w:rsidRDefault="00C75D62" w:rsidP="00C75D62">
      <w:pPr>
        <w:keepNext/>
        <w:numPr>
          <w:ilvl w:val="0"/>
          <w:numId w:val="16"/>
        </w:numPr>
        <w:spacing w:before="240"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2" w:name="_Hlk101773007"/>
      <w:r w:rsidRPr="00601B0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PROHLÁŠENÍ</w:t>
      </w:r>
    </w:p>
    <w:p w14:paraId="4F950ECC" w14:textId="77777777" w:rsidR="00C75D62" w:rsidRPr="00601B0D" w:rsidRDefault="00C75D62" w:rsidP="00C75D62">
      <w:pPr>
        <w:spacing w:before="12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bCs/>
          <w:sz w:val="20"/>
          <w:szCs w:val="20"/>
          <w:lang w:eastAsia="en-US"/>
        </w:rPr>
        <w:t>Dodavatel čestně prohlašuje, že v souladu s nařízením Rady (EU) 2022/576 ze dne 8. dubna 2022 o omezujících opatřeních vzhledem k činnostem Ruska destabilizujícím situaci na Ukrajině, se na veřejné zakázce nebude podílet:</w:t>
      </w:r>
    </w:p>
    <w:p w14:paraId="24657DC1" w14:textId="77777777" w:rsidR="00C75D62" w:rsidRPr="00601B0D" w:rsidRDefault="00C75D62" w:rsidP="00C75D62">
      <w:pPr>
        <w:numPr>
          <w:ilvl w:val="0"/>
          <w:numId w:val="17"/>
        </w:numPr>
        <w:spacing w:after="60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sz w:val="20"/>
          <w:szCs w:val="20"/>
          <w:lang w:eastAsia="en-US"/>
        </w:rPr>
        <w:t>jakýkoliv ruský státní příslušník, fyzická či právnická osoba nebo subjekt či orgán se sídlem v Rusku,</w:t>
      </w:r>
    </w:p>
    <w:p w14:paraId="64962031" w14:textId="77777777" w:rsidR="00C75D62" w:rsidRPr="00601B0D" w:rsidRDefault="00C75D62" w:rsidP="00C75D62">
      <w:pPr>
        <w:numPr>
          <w:ilvl w:val="0"/>
          <w:numId w:val="17"/>
        </w:numPr>
        <w:spacing w:after="60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sz w:val="20"/>
          <w:szCs w:val="20"/>
          <w:lang w:eastAsia="en-US"/>
        </w:rPr>
        <w:t>právnická osoba, subjekt nebo orgán, který je z více než 50 % přímo či nepřímo vlastněn některým ze subjektů uvedených v písmeni a), nebo</w:t>
      </w:r>
    </w:p>
    <w:p w14:paraId="6E5DD1CA" w14:textId="77777777" w:rsidR="00C75D62" w:rsidRPr="00601B0D" w:rsidRDefault="00C75D62" w:rsidP="00C75D62">
      <w:pPr>
        <w:numPr>
          <w:ilvl w:val="0"/>
          <w:numId w:val="17"/>
        </w:numPr>
        <w:spacing w:before="60" w:after="60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sz w:val="20"/>
          <w:szCs w:val="20"/>
          <w:lang w:eastAsia="en-US"/>
        </w:rPr>
        <w:lastRenderedPageBreak/>
        <w:t>fyzická nebo právnická osoba, subjekt nebo orgán, který jedná jménem nebo na pokyn některého ze subjektů uvedených v písmeni a) nebo b),</w:t>
      </w:r>
    </w:p>
    <w:p w14:paraId="204611FE" w14:textId="77777777" w:rsidR="00C75D62" w:rsidRPr="00601B0D" w:rsidRDefault="00C75D62" w:rsidP="00C75D62">
      <w:pPr>
        <w:spacing w:before="60" w:after="60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sz w:val="20"/>
          <w:szCs w:val="20"/>
          <w:lang w:eastAsia="en-US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14:paraId="3B2D0E6C" w14:textId="77777777" w:rsidR="00C75D62" w:rsidRPr="00601B0D" w:rsidRDefault="00C75D62" w:rsidP="00C75D62">
      <w:pPr>
        <w:spacing w:before="12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01B0D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Seznam osob, které se budou podílet na plnění veřejné zakázky</w:t>
      </w:r>
      <w:r w:rsidRPr="00601B0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představující více než 10 % její hodnoty (pokud jsou účastníkovi známi)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2971"/>
      </w:tblGrid>
      <w:tr w:rsidR="00C75D62" w:rsidRPr="00601B0D" w14:paraId="077355B5" w14:textId="77777777" w:rsidTr="00E52473">
        <w:tc>
          <w:tcPr>
            <w:tcW w:w="2297" w:type="dxa"/>
          </w:tcPr>
          <w:p w14:paraId="4A8F1435" w14:textId="77777777" w:rsidR="00C75D62" w:rsidRPr="00601B0D" w:rsidRDefault="00C75D62" w:rsidP="00E52473">
            <w:pPr>
              <w:spacing w:before="120" w:after="12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B0D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14:paraId="6E072053" w14:textId="77777777" w:rsidR="00C75D62" w:rsidRPr="00601B0D" w:rsidRDefault="00C75D62" w:rsidP="00E52473">
            <w:pPr>
              <w:spacing w:before="120" w:after="12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B0D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14:paraId="226FFFA6" w14:textId="77777777" w:rsidR="00C75D62" w:rsidRPr="00601B0D" w:rsidRDefault="00C75D62" w:rsidP="00E52473">
            <w:pPr>
              <w:spacing w:before="120" w:after="12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B0D">
              <w:rPr>
                <w:rFonts w:ascii="Arial" w:hAnsi="Arial" w:cs="Arial"/>
                <w:bCs/>
                <w:sz w:val="20"/>
                <w:szCs w:val="20"/>
              </w:rPr>
              <w:t>IČ</w:t>
            </w:r>
          </w:p>
        </w:tc>
        <w:tc>
          <w:tcPr>
            <w:tcW w:w="2971" w:type="dxa"/>
          </w:tcPr>
          <w:p w14:paraId="3DAF4192" w14:textId="77777777" w:rsidR="00C75D62" w:rsidRPr="00601B0D" w:rsidRDefault="00C75D62" w:rsidP="00E52473">
            <w:pPr>
              <w:spacing w:before="120" w:after="12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B0D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C75D62" w:rsidRPr="00601B0D" w14:paraId="2005F805" w14:textId="77777777" w:rsidTr="00E52473">
        <w:tc>
          <w:tcPr>
            <w:tcW w:w="2297" w:type="dxa"/>
            <w:shd w:val="clear" w:color="auto" w:fill="FFFF00"/>
          </w:tcPr>
          <w:p w14:paraId="6EABC828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F2AAAB4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32E3A51E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62422EB0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</w:tr>
      <w:tr w:rsidR="00C75D62" w:rsidRPr="00601B0D" w14:paraId="7B23D404" w14:textId="77777777" w:rsidTr="00E52473">
        <w:tc>
          <w:tcPr>
            <w:tcW w:w="2297" w:type="dxa"/>
            <w:shd w:val="clear" w:color="auto" w:fill="FFFF00"/>
          </w:tcPr>
          <w:p w14:paraId="2008A8BE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073E3B19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796DD8CA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0622ABC2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</w:tr>
      <w:tr w:rsidR="00C75D62" w:rsidRPr="00601B0D" w14:paraId="614B0A0A" w14:textId="77777777" w:rsidTr="00E52473">
        <w:tc>
          <w:tcPr>
            <w:tcW w:w="2297" w:type="dxa"/>
            <w:shd w:val="clear" w:color="auto" w:fill="FFFF00"/>
          </w:tcPr>
          <w:p w14:paraId="2889938B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0EDF92A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047C868B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38424482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</w:tr>
      <w:tr w:rsidR="00C75D62" w:rsidRPr="00601B0D" w14:paraId="323B3B87" w14:textId="77777777" w:rsidTr="00E52473">
        <w:tc>
          <w:tcPr>
            <w:tcW w:w="2297" w:type="dxa"/>
            <w:shd w:val="clear" w:color="auto" w:fill="FFFF00"/>
          </w:tcPr>
          <w:p w14:paraId="16CD012B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1B298CD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4B9CC391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58077C5F" w14:textId="77777777" w:rsidR="00C75D62" w:rsidRPr="00601B0D" w:rsidRDefault="00C75D62" w:rsidP="00E52473">
            <w:pPr>
              <w:spacing w:before="120" w:after="120" w:line="259" w:lineRule="auto"/>
              <w:rPr>
                <w:bCs/>
                <w:color w:val="FFFF00"/>
                <w:sz w:val="20"/>
                <w:szCs w:val="20"/>
              </w:rPr>
            </w:pPr>
          </w:p>
        </w:tc>
      </w:tr>
      <w:bookmarkEnd w:id="2"/>
    </w:tbl>
    <w:p w14:paraId="0E5CC676" w14:textId="79E4A903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5434D66B" w14:textId="0A12AA4E" w:rsidR="009949B2" w:rsidRDefault="009949B2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091C273D" w14:textId="77777777" w:rsidR="009949B2" w:rsidRDefault="009949B2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1836488E" w14:textId="77777777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758A1F16" w14:textId="77777777"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14:paraId="4ED79557" w14:textId="77777777"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14:paraId="3F88F84E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4AAB00A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3303219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AFEA0FB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57283FD" w14:textId="77777777"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………………………………..</w:t>
      </w:r>
    </w:p>
    <w:sectPr w:rsidR="006921C0" w:rsidRPr="00065E11" w:rsidSect="006921C0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C0E1" w14:textId="77777777" w:rsidR="007E27C0" w:rsidRDefault="007E27C0">
      <w:pPr>
        <w:spacing w:after="0" w:line="240" w:lineRule="auto"/>
      </w:pPr>
      <w:r>
        <w:separator/>
      </w:r>
    </w:p>
  </w:endnote>
  <w:endnote w:type="continuationSeparator" w:id="0">
    <w:p w14:paraId="11EA3264" w14:textId="77777777" w:rsidR="007E27C0" w:rsidRDefault="007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34B7" w14:textId="77777777"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2EC6">
      <w:rPr>
        <w:noProof/>
        <w:color w:val="000000"/>
      </w:rPr>
      <w:t>1</w:t>
    </w:r>
    <w:r>
      <w:rPr>
        <w:color w:val="000000"/>
      </w:rPr>
      <w:fldChar w:fldCharType="end"/>
    </w:r>
  </w:p>
  <w:p w14:paraId="0075174B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41E3" w14:textId="77777777" w:rsidR="007E27C0" w:rsidRDefault="007E27C0">
      <w:pPr>
        <w:spacing w:after="0" w:line="240" w:lineRule="auto"/>
      </w:pPr>
      <w:r>
        <w:separator/>
      </w:r>
    </w:p>
  </w:footnote>
  <w:footnote w:type="continuationSeparator" w:id="0">
    <w:p w14:paraId="2C96BBD1" w14:textId="77777777" w:rsidR="007E27C0" w:rsidRDefault="007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3E5" w14:textId="77777777"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064A"/>
    <w:multiLevelType w:val="multilevel"/>
    <w:tmpl w:val="3C4240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09755B"/>
    <w:multiLevelType w:val="hybridMultilevel"/>
    <w:tmpl w:val="C9E8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4353803">
    <w:abstractNumId w:val="4"/>
  </w:num>
  <w:num w:numId="2" w16cid:durableId="1917278678">
    <w:abstractNumId w:val="5"/>
  </w:num>
  <w:num w:numId="3" w16cid:durableId="1725180048">
    <w:abstractNumId w:val="10"/>
  </w:num>
  <w:num w:numId="4" w16cid:durableId="71052122">
    <w:abstractNumId w:val="16"/>
  </w:num>
  <w:num w:numId="5" w16cid:durableId="474958697">
    <w:abstractNumId w:val="6"/>
  </w:num>
  <w:num w:numId="6" w16cid:durableId="1430420109">
    <w:abstractNumId w:val="7"/>
  </w:num>
  <w:num w:numId="7" w16cid:durableId="1999073006">
    <w:abstractNumId w:val="2"/>
  </w:num>
  <w:num w:numId="8" w16cid:durableId="630282776">
    <w:abstractNumId w:val="12"/>
  </w:num>
  <w:num w:numId="9" w16cid:durableId="93137239">
    <w:abstractNumId w:val="8"/>
  </w:num>
  <w:num w:numId="10" w16cid:durableId="984899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3168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737595">
    <w:abstractNumId w:val="13"/>
  </w:num>
  <w:num w:numId="13" w16cid:durableId="354355831">
    <w:abstractNumId w:val="1"/>
  </w:num>
  <w:num w:numId="14" w16cid:durableId="589586784">
    <w:abstractNumId w:val="0"/>
  </w:num>
  <w:num w:numId="15" w16cid:durableId="679818746">
    <w:abstractNumId w:val="14"/>
  </w:num>
  <w:num w:numId="16" w16cid:durableId="214196088">
    <w:abstractNumId w:val="11"/>
  </w:num>
  <w:num w:numId="17" w16cid:durableId="1377466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43"/>
    <w:rsid w:val="00001475"/>
    <w:rsid w:val="000102DE"/>
    <w:rsid w:val="00012021"/>
    <w:rsid w:val="000468AF"/>
    <w:rsid w:val="00065E11"/>
    <w:rsid w:val="00087032"/>
    <w:rsid w:val="00142EC6"/>
    <w:rsid w:val="001B5919"/>
    <w:rsid w:val="0020769C"/>
    <w:rsid w:val="00222E97"/>
    <w:rsid w:val="0022616A"/>
    <w:rsid w:val="002266D1"/>
    <w:rsid w:val="00226C0E"/>
    <w:rsid w:val="002575E5"/>
    <w:rsid w:val="0026304F"/>
    <w:rsid w:val="00265F34"/>
    <w:rsid w:val="002E62E0"/>
    <w:rsid w:val="003645D6"/>
    <w:rsid w:val="003800FD"/>
    <w:rsid w:val="003F3E4A"/>
    <w:rsid w:val="00413AD4"/>
    <w:rsid w:val="0044259D"/>
    <w:rsid w:val="00461385"/>
    <w:rsid w:val="005117E5"/>
    <w:rsid w:val="005C1A6D"/>
    <w:rsid w:val="005C7AF2"/>
    <w:rsid w:val="006241D5"/>
    <w:rsid w:val="00642656"/>
    <w:rsid w:val="00652F43"/>
    <w:rsid w:val="006921C0"/>
    <w:rsid w:val="006A3331"/>
    <w:rsid w:val="006F1F5C"/>
    <w:rsid w:val="007231B9"/>
    <w:rsid w:val="007E27C0"/>
    <w:rsid w:val="00814E1E"/>
    <w:rsid w:val="0084479C"/>
    <w:rsid w:val="008662D7"/>
    <w:rsid w:val="00870BCA"/>
    <w:rsid w:val="00883F5E"/>
    <w:rsid w:val="00891D0B"/>
    <w:rsid w:val="008E4141"/>
    <w:rsid w:val="00973FCA"/>
    <w:rsid w:val="009949B2"/>
    <w:rsid w:val="009E5925"/>
    <w:rsid w:val="009E64D9"/>
    <w:rsid w:val="00A20736"/>
    <w:rsid w:val="00A304C2"/>
    <w:rsid w:val="00A80766"/>
    <w:rsid w:val="00AB65C1"/>
    <w:rsid w:val="00AC2B9B"/>
    <w:rsid w:val="00AF3159"/>
    <w:rsid w:val="00AF3A0D"/>
    <w:rsid w:val="00B05235"/>
    <w:rsid w:val="00B066DD"/>
    <w:rsid w:val="00B25BBF"/>
    <w:rsid w:val="00B446BB"/>
    <w:rsid w:val="00B514C9"/>
    <w:rsid w:val="00BB216C"/>
    <w:rsid w:val="00C24A3E"/>
    <w:rsid w:val="00C75D62"/>
    <w:rsid w:val="00CC17C1"/>
    <w:rsid w:val="00CC283B"/>
    <w:rsid w:val="00CD1A0C"/>
    <w:rsid w:val="00D27BF0"/>
    <w:rsid w:val="00D7473C"/>
    <w:rsid w:val="00DB356C"/>
    <w:rsid w:val="00E02872"/>
    <w:rsid w:val="00E21C57"/>
    <w:rsid w:val="00E430CE"/>
    <w:rsid w:val="00EA06DF"/>
    <w:rsid w:val="00EC53D8"/>
    <w:rsid w:val="00F36A93"/>
    <w:rsid w:val="00F70646"/>
    <w:rsid w:val="00F72770"/>
    <w:rsid w:val="00FA556E"/>
    <w:rsid w:val="00FB0A5A"/>
    <w:rsid w:val="00FB13E8"/>
    <w:rsid w:val="00FC27C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61B"/>
  <w15:docId w15:val="{2D753787-ADA9-4849-8FB3-EE15F9F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2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E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E97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99"/>
    <w:rsid w:val="00C75D6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22</cp:revision>
  <cp:lastPrinted>2022-01-26T13:11:00Z</cp:lastPrinted>
  <dcterms:created xsi:type="dcterms:W3CDTF">2021-02-25T08:43:00Z</dcterms:created>
  <dcterms:modified xsi:type="dcterms:W3CDTF">2022-05-30T11:33:00Z</dcterms:modified>
</cp:coreProperties>
</file>