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1B47A934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50545E">
        <w:rPr>
          <w:rFonts w:ascii="Arial" w:hAnsi="Arial" w:cs="Arial"/>
          <w:sz w:val="18"/>
          <w:szCs w:val="18"/>
          <w:highlight w:val="yellow"/>
        </w:rPr>
        <w:t>2025-</w:t>
      </w:r>
      <w:proofErr w:type="gramStart"/>
      <w:r w:rsidR="00C823BD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="00FA0D01" w:rsidRPr="00716C74">
        <w:rPr>
          <w:rFonts w:ascii="Arial" w:hAnsi="Arial" w:cs="Arial"/>
          <w:sz w:val="18"/>
          <w:szCs w:val="18"/>
          <w:highlight w:val="yellow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78CB5A5A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C823BD">
        <w:rPr>
          <w:rFonts w:cs="Arial"/>
          <w:sz w:val="20"/>
          <w:szCs w:val="20"/>
          <w:lang w:val="cs-CZ"/>
        </w:rPr>
        <w:t xml:space="preserve">Odstranění tělocvičny </w:t>
      </w:r>
      <w:proofErr w:type="spellStart"/>
      <w:r w:rsidR="00C823BD">
        <w:rPr>
          <w:rFonts w:cs="Arial"/>
          <w:sz w:val="20"/>
          <w:szCs w:val="20"/>
          <w:lang w:val="cs-CZ"/>
        </w:rPr>
        <w:t>Vokolkova</w:t>
      </w:r>
      <w:proofErr w:type="spellEnd"/>
      <w:r w:rsidR="00C823BD">
        <w:rPr>
          <w:rFonts w:cs="Arial"/>
          <w:sz w:val="20"/>
          <w:szCs w:val="20"/>
          <w:lang w:val="cs-CZ"/>
        </w:rPr>
        <w:t xml:space="preserve"> u ZŠ Vrchlického 630/5, Děčín II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2805D1">
        <w:rPr>
          <w:rFonts w:cs="Arial"/>
          <w:b w:val="0"/>
          <w:sz w:val="20"/>
          <w:szCs w:val="20"/>
          <w:lang w:val="cs-CZ"/>
        </w:rPr>
        <w:t xml:space="preserve">je </w:t>
      </w:r>
      <w:r w:rsidR="00A16844" w:rsidRPr="00602CC5">
        <w:rPr>
          <w:rFonts w:cs="Arial"/>
          <w:b w:val="0"/>
          <w:sz w:val="20"/>
          <w:szCs w:val="20"/>
          <w:lang w:val="cs-CZ"/>
        </w:rPr>
        <w:t>vyspecifikov</w:t>
      </w:r>
      <w:r w:rsidR="002805D1">
        <w:rPr>
          <w:rFonts w:cs="Arial"/>
          <w:b w:val="0"/>
          <w:sz w:val="20"/>
          <w:szCs w:val="20"/>
          <w:lang w:val="cs-CZ"/>
        </w:rPr>
        <w:t>án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kterou vypracoval </w:t>
      </w:r>
      <w:r w:rsidR="00C823BD">
        <w:rPr>
          <w:rFonts w:cs="Arial"/>
          <w:b w:val="0"/>
          <w:bCs w:val="0"/>
          <w:sz w:val="20"/>
          <w:szCs w:val="20"/>
          <w:lang w:val="cs-CZ"/>
        </w:rPr>
        <w:t xml:space="preserve">Martin </w:t>
      </w:r>
      <w:proofErr w:type="spellStart"/>
      <w:r w:rsidR="00C823BD">
        <w:rPr>
          <w:rFonts w:cs="Arial"/>
          <w:b w:val="0"/>
          <w:bCs w:val="0"/>
          <w:sz w:val="20"/>
          <w:szCs w:val="20"/>
          <w:lang w:val="cs-CZ"/>
        </w:rPr>
        <w:t>Hübschman</w:t>
      </w:r>
      <w:proofErr w:type="spellEnd"/>
      <w:r w:rsidR="00C823BD">
        <w:rPr>
          <w:rFonts w:cs="Arial"/>
          <w:b w:val="0"/>
          <w:bCs w:val="0"/>
          <w:sz w:val="20"/>
          <w:szCs w:val="20"/>
          <w:lang w:val="cs-CZ"/>
        </w:rPr>
        <w:t>, Di</w:t>
      </w:r>
      <w:r w:rsidR="002805D1">
        <w:rPr>
          <w:rFonts w:cs="Arial"/>
          <w:b w:val="0"/>
          <w:bCs w:val="0"/>
          <w:sz w:val="20"/>
          <w:szCs w:val="20"/>
          <w:lang w:val="cs-CZ"/>
        </w:rPr>
        <w:t>S</w:t>
      </w:r>
      <w:r w:rsidR="00C823BD">
        <w:rPr>
          <w:rFonts w:cs="Arial"/>
          <w:b w:val="0"/>
          <w:bCs w:val="0"/>
          <w:sz w:val="20"/>
          <w:szCs w:val="20"/>
          <w:lang w:val="cs-CZ"/>
        </w:rPr>
        <w:t xml:space="preserve"> projektová činnost ve výstavbě IČO: 09980300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,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se sídlem</w:t>
      </w:r>
      <w:r w:rsidR="00C823BD">
        <w:rPr>
          <w:rFonts w:cs="Arial"/>
          <w:b w:val="0"/>
          <w:bCs w:val="0"/>
          <w:sz w:val="20"/>
          <w:szCs w:val="20"/>
        </w:rPr>
        <w:t xml:space="preserve"> Růžová 88, 405 02 Děčín I, kontroloval Pavlína Králová, Liberecká 1104/77, 405 02 Děčín II, ČKAIT 0401513</w:t>
      </w:r>
      <w:r w:rsidR="00716C74">
        <w:rPr>
          <w:rFonts w:cs="Arial"/>
          <w:b w:val="0"/>
          <w:sz w:val="20"/>
          <w:szCs w:val="20"/>
          <w:lang w:val="cs-CZ"/>
        </w:rPr>
        <w:br/>
      </w:r>
      <w:r w:rsidR="00716C74" w:rsidRPr="00716C74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716C74" w:rsidRPr="00716C74">
        <w:rPr>
          <w:rFonts w:cs="Arial"/>
          <w:sz w:val="20"/>
          <w:szCs w:val="20"/>
        </w:rPr>
        <w:t xml:space="preserve"> </w:t>
      </w:r>
      <w:r w:rsidR="00C823BD">
        <w:rPr>
          <w:rFonts w:cs="Arial"/>
          <w:sz w:val="20"/>
          <w:szCs w:val="20"/>
          <w:lang w:val="cs-CZ"/>
        </w:rPr>
        <w:t>1.300.000 Kč bez DPH</w:t>
      </w:r>
      <w:r w:rsidR="00827477" w:rsidRPr="00827477">
        <w:rPr>
          <w:rFonts w:cs="Arial"/>
          <w:b w:val="0"/>
          <w:bCs w:val="0"/>
          <w:sz w:val="20"/>
          <w:szCs w:val="20"/>
          <w:lang w:val="cs-CZ"/>
        </w:rPr>
        <w:t>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0F22AD75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>Jméno a příjmení osoby zhotovitele oprávněné vykonávat technický dozor stavby v souladu se svou autorizací</w:t>
      </w:r>
      <w:r w:rsidR="002805D1">
        <w:rPr>
          <w:rFonts w:cs="Arial"/>
          <w:sz w:val="20"/>
          <w:szCs w:val="24"/>
          <w:lang w:val="cs-CZ"/>
        </w:rPr>
        <w:t xml:space="preserve"> </w:t>
      </w:r>
      <w:r w:rsidR="002805D1" w:rsidRPr="002805D1">
        <w:rPr>
          <w:rFonts w:cs="Arial"/>
          <w:sz w:val="20"/>
          <w:szCs w:val="24"/>
          <w:highlight w:val="yellow"/>
          <w:lang w:val="cs-CZ"/>
        </w:rPr>
        <w:t>………………………</w:t>
      </w:r>
      <w:proofErr w:type="gramStart"/>
      <w:r w:rsidR="002805D1" w:rsidRPr="002805D1">
        <w:rPr>
          <w:rFonts w:cs="Arial"/>
          <w:sz w:val="20"/>
          <w:szCs w:val="24"/>
          <w:highlight w:val="yellow"/>
          <w:lang w:val="cs-CZ"/>
        </w:rPr>
        <w:t>…….</w:t>
      </w:r>
      <w:proofErr w:type="gramEnd"/>
      <w:r w:rsidR="0012296F" w:rsidRPr="002805D1">
        <w:rPr>
          <w:rFonts w:cs="Arial"/>
          <w:b w:val="0"/>
          <w:bCs w:val="0"/>
          <w:sz w:val="20"/>
          <w:szCs w:val="24"/>
          <w:highlight w:val="yellow"/>
          <w:lang w:val="cs-CZ"/>
        </w:rPr>
        <w:t>.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2805D1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2805D1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2805D1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2805D1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 w:rsidR="00A10053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2805D1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2805D1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2805D1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22D108B2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FB7EB2">
        <w:rPr>
          <w:rFonts w:ascii="Arial" w:hAnsi="Arial" w:cs="Arial"/>
          <w:b/>
          <w:bCs/>
          <w:sz w:val="20"/>
          <w:szCs w:val="20"/>
          <w:lang w:eastAsia="cs-CZ"/>
        </w:rPr>
        <w:t>P25V00000309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lastRenderedPageBreak/>
        <w:t xml:space="preserve">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6420849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507A35">
        <w:rPr>
          <w:rFonts w:ascii="Arial" w:hAnsi="Arial" w:cs="Arial"/>
          <w:sz w:val="20"/>
          <w:szCs w:val="20"/>
        </w:rPr>
        <w:t>…………………</w:t>
      </w:r>
      <w:proofErr w:type="gramStart"/>
      <w:r w:rsidR="00507A35">
        <w:rPr>
          <w:rFonts w:ascii="Arial" w:hAnsi="Arial" w:cs="Arial"/>
          <w:sz w:val="20"/>
          <w:szCs w:val="20"/>
        </w:rPr>
        <w:t>…….</w:t>
      </w:r>
      <w:proofErr w:type="gramEnd"/>
      <w:r w:rsidR="00507A35">
        <w:rPr>
          <w:rFonts w:ascii="Arial" w:hAnsi="Arial" w:cs="Arial"/>
          <w:sz w:val="20"/>
          <w:szCs w:val="20"/>
        </w:rPr>
        <w:t>.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A45E" w14:textId="77777777" w:rsidR="00A0255B" w:rsidRDefault="00A0255B" w:rsidP="008F02FD">
      <w:r>
        <w:separator/>
      </w:r>
    </w:p>
  </w:endnote>
  <w:endnote w:type="continuationSeparator" w:id="0">
    <w:p w14:paraId="0AF891CF" w14:textId="77777777" w:rsidR="00A0255B" w:rsidRDefault="00A0255B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3D84" w14:textId="77777777" w:rsidR="00A0255B" w:rsidRDefault="00A0255B" w:rsidP="008F02FD">
      <w:r>
        <w:separator/>
      </w:r>
    </w:p>
  </w:footnote>
  <w:footnote w:type="continuationSeparator" w:id="0">
    <w:p w14:paraId="483439EA" w14:textId="77777777" w:rsidR="00A0255B" w:rsidRDefault="00A0255B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54F39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05D1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22B6"/>
    <w:rsid w:val="00540D9A"/>
    <w:rsid w:val="00552C39"/>
    <w:rsid w:val="00557B93"/>
    <w:rsid w:val="00562FFA"/>
    <w:rsid w:val="00574058"/>
    <w:rsid w:val="00576655"/>
    <w:rsid w:val="00584A7A"/>
    <w:rsid w:val="0058687F"/>
    <w:rsid w:val="005A6191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237CB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9213DD"/>
    <w:rsid w:val="0094053C"/>
    <w:rsid w:val="00953266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0255B"/>
    <w:rsid w:val="00A10053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823BD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8436E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B7EB2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2540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Zítková Růžena</cp:lastModifiedBy>
  <cp:revision>7</cp:revision>
  <cp:lastPrinted>2023-10-11T06:38:00Z</cp:lastPrinted>
  <dcterms:created xsi:type="dcterms:W3CDTF">2025-01-21T07:45:00Z</dcterms:created>
  <dcterms:modified xsi:type="dcterms:W3CDTF">2025-04-09T13:41:00Z</dcterms:modified>
</cp:coreProperties>
</file>