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4C509B72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E95F39" w:rsidRPr="00A5326E">
        <w:rPr>
          <w:rFonts w:ascii="Arial" w:eastAsia="Arial" w:hAnsi="Arial" w:cs="Arial"/>
          <w:b/>
          <w:sz w:val="24"/>
          <w:szCs w:val="24"/>
        </w:rPr>
        <w:t>2/Z</w:t>
      </w:r>
      <w:r w:rsidR="00DF4AFB" w:rsidRPr="00DF4AFB">
        <w:rPr>
          <w:rFonts w:ascii="Arial" w:eastAsia="Arial" w:hAnsi="Arial" w:cs="Arial"/>
          <w:b/>
          <w:sz w:val="24"/>
          <w:szCs w:val="24"/>
        </w:rPr>
        <w:t xml:space="preserve">pracování PD – MŠ </w:t>
      </w:r>
      <w:r w:rsidR="002372E6">
        <w:rPr>
          <w:rFonts w:ascii="Arial" w:eastAsia="Arial" w:hAnsi="Arial" w:cs="Arial"/>
          <w:b/>
          <w:sz w:val="24"/>
          <w:szCs w:val="24"/>
        </w:rPr>
        <w:t>Školní 1475/17, Děčín VI – modernizace objektu</w:t>
      </w:r>
      <w:r w:rsidR="009022C8">
        <w:rPr>
          <w:rFonts w:ascii="Arial" w:eastAsia="Arial" w:hAnsi="Arial" w:cs="Arial"/>
          <w:b/>
          <w:sz w:val="24"/>
          <w:szCs w:val="24"/>
        </w:rPr>
        <w:t>, výměna instalací</w:t>
      </w:r>
    </w:p>
    <w:p w14:paraId="5C19CF2D" w14:textId="23B47B70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2E3FD8F6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57C7CF00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r w:rsidR="00EB2879" w:rsidRPr="00EB2879">
        <w:rPr>
          <w:rFonts w:ascii="Arial" w:eastAsia="Arial" w:hAnsi="Arial" w:cs="Arial"/>
          <w:sz w:val="20"/>
          <w:szCs w:val="20"/>
        </w:rPr>
        <w:t>https://zakazky.mmdecin.cz/vz00009943</w:t>
      </w:r>
      <w:r w:rsidR="00E33E35">
        <w:rPr>
          <w:rFonts w:ascii="Arial" w:eastAsia="Arial" w:hAnsi="Arial" w:cs="Arial"/>
          <w:sz w:val="20"/>
          <w:szCs w:val="20"/>
        </w:rPr>
        <w:t xml:space="preserve"> </w:t>
      </w:r>
      <w:r w:rsidR="00F159F2">
        <w:rPr>
          <w:rFonts w:ascii="Arial" w:hAnsi="Arial" w:cs="Arial"/>
          <w:sz w:val="20"/>
          <w:szCs w:val="20"/>
        </w:rPr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9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660DA058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</w:t>
      </w:r>
      <w:r w:rsidR="000175F7">
        <w:rPr>
          <w:rFonts w:ascii="Arial" w:eastAsia="Arial" w:hAnsi="Arial" w:cs="Arial"/>
          <w:sz w:val="20"/>
          <w:szCs w:val="20"/>
        </w:rPr>
        <w:t> </w:t>
      </w:r>
      <w:r w:rsidR="00591EA8">
        <w:rPr>
          <w:rFonts w:ascii="Arial" w:eastAsia="Arial" w:hAnsi="Arial" w:cs="Arial"/>
          <w:sz w:val="20"/>
          <w:szCs w:val="20"/>
        </w:rPr>
        <w:t>oboru</w:t>
      </w:r>
      <w:r w:rsidR="000175F7">
        <w:rPr>
          <w:rFonts w:ascii="Arial" w:eastAsia="Arial" w:hAnsi="Arial" w:cs="Arial"/>
          <w:sz w:val="20"/>
          <w:szCs w:val="20"/>
        </w:rPr>
        <w:br/>
      </w:r>
      <w:r w:rsidR="000175F7">
        <w:rPr>
          <w:rFonts w:ascii="Arial" w:eastAsia="Arial" w:hAnsi="Arial" w:cs="Arial"/>
          <w:sz w:val="20"/>
          <w:szCs w:val="20"/>
        </w:rPr>
        <w:br/>
      </w:r>
      <w:r w:rsidR="00591EA8">
        <w:rPr>
          <w:rFonts w:ascii="Arial" w:eastAsia="Arial" w:hAnsi="Arial" w:cs="Arial"/>
          <w:sz w:val="20"/>
          <w:szCs w:val="20"/>
        </w:rPr>
        <w:t xml:space="preserve">– </w:t>
      </w:r>
      <w:r w:rsidR="00E33E35">
        <w:rPr>
          <w:rFonts w:ascii="Arial" w:eastAsia="Arial" w:hAnsi="Arial" w:cs="Arial"/>
          <w:b/>
          <w:bCs/>
          <w:sz w:val="20"/>
          <w:szCs w:val="20"/>
        </w:rPr>
        <w:t>Projektová činnost ve výstavbě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63851C32" w14:textId="77777777" w:rsidR="00F47DB9" w:rsidRPr="004F2B1C" w:rsidRDefault="00F47DB9" w:rsidP="000175F7">
      <w:pPr>
        <w:pStyle w:val="Odstavecseseznamem"/>
        <w:numPr>
          <w:ilvl w:val="0"/>
          <w:numId w:val="26"/>
        </w:numPr>
        <w:spacing w:before="60"/>
        <w:ind w:left="6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>
        <w:rPr>
          <w:rFonts w:ascii="Arial" w:hAnsi="Arial" w:cs="Arial"/>
          <w:sz w:val="20"/>
          <w:szCs w:val="20"/>
        </w:rPr>
        <w:t>.</w:t>
      </w:r>
      <w:r w:rsidRPr="004F2B1C">
        <w:rPr>
          <w:rFonts w:ascii="Arial" w:hAnsi="Arial" w:cs="Arial"/>
          <w:sz w:val="20"/>
          <w:szCs w:val="20"/>
        </w:rPr>
        <w:t xml:space="preserve"> Dodavatel předloží osvědčení o vzdělání a odborné kvalifikaci osob odpovědných za vedení realizace příslušných prací, a to:</w:t>
      </w:r>
    </w:p>
    <w:p w14:paraId="04978C8D" w14:textId="30C1F375" w:rsidR="00F47DB9" w:rsidRPr="007A3A82" w:rsidRDefault="00F47DB9" w:rsidP="000175F7">
      <w:pPr>
        <w:pStyle w:val="Odstavecseseznamem"/>
        <w:numPr>
          <w:ilvl w:val="0"/>
          <w:numId w:val="25"/>
        </w:numPr>
        <w:spacing w:before="120" w:after="60"/>
        <w:ind w:left="708" w:hanging="425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</w:t>
      </w:r>
      <w:r w:rsidRPr="00EC6DF1">
        <w:rPr>
          <w:rFonts w:ascii="Arial" w:hAnsi="Arial" w:cs="Arial"/>
          <w:b/>
          <w:bCs/>
          <w:sz w:val="20"/>
          <w:szCs w:val="20"/>
        </w:rPr>
        <w:t>autorizovaného inženýra</w:t>
      </w:r>
      <w:r w:rsidR="005168ED">
        <w:rPr>
          <w:rFonts w:ascii="Arial" w:hAnsi="Arial" w:cs="Arial"/>
          <w:b/>
          <w:bCs/>
          <w:sz w:val="20"/>
          <w:szCs w:val="20"/>
        </w:rPr>
        <w:t xml:space="preserve"> nebo technika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v oboru </w:t>
      </w:r>
      <w:r w:rsidRPr="00FF0A11">
        <w:rPr>
          <w:rFonts w:ascii="Arial" w:hAnsi="Arial" w:cs="Arial"/>
          <w:b/>
          <w:bCs/>
          <w:sz w:val="20"/>
          <w:szCs w:val="20"/>
        </w:rPr>
        <w:t>Pozemní stavby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44F79D4B" w14:textId="77777777" w:rsidR="00F47DB9" w:rsidRPr="007A3A82" w:rsidRDefault="00F47DB9" w:rsidP="00F47DB9">
      <w:pPr>
        <w:spacing w:before="6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Dodavatel uvede prohlášení o formě spolupráce s autorizovanou osobou:</w:t>
      </w:r>
    </w:p>
    <w:p w14:paraId="6A5A1631" w14:textId="77777777" w:rsidR="00F47DB9" w:rsidRPr="007A3A82" w:rsidRDefault="00F47DB9" w:rsidP="000175F7">
      <w:pPr>
        <w:pStyle w:val="Odstavecseseznamem"/>
        <w:numPr>
          <w:ilvl w:val="0"/>
          <w:numId w:val="27"/>
        </w:numPr>
        <w:spacing w:before="60"/>
        <w:ind w:left="6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zaměstnance čestným prohlášením o trvání zaměstnaneckého poměru podepsané oprávněnou osobou za dodavatele či jeho jménem jednat,</w:t>
      </w:r>
    </w:p>
    <w:p w14:paraId="1D124EBD" w14:textId="77777777" w:rsidR="00F47DB9" w:rsidRPr="007A3A82" w:rsidRDefault="00F47DB9" w:rsidP="000175F7">
      <w:pPr>
        <w:pStyle w:val="Odstavecseseznamem"/>
        <w:numPr>
          <w:ilvl w:val="0"/>
          <w:numId w:val="27"/>
        </w:numPr>
        <w:spacing w:before="120" w:after="60"/>
        <w:ind w:left="643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213460">
        <w:tc>
          <w:tcPr>
            <w:tcW w:w="4820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7F74F1F6" w:rsidR="008B63D5" w:rsidRPr="00276EC1" w:rsidRDefault="00E33E3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stavby</w:t>
            </w:r>
            <w:r w:rsidR="00DD58B1">
              <w:rPr>
                <w:rFonts w:ascii="Arial" w:hAnsi="Arial" w:cs="Arial"/>
                <w:b/>
                <w:sz w:val="20"/>
                <w:szCs w:val="20"/>
              </w:rPr>
              <w:t xml:space="preserve"> (IP00 nebo TP00)</w:t>
            </w:r>
          </w:p>
        </w:tc>
        <w:tc>
          <w:tcPr>
            <w:tcW w:w="4394" w:type="dxa"/>
            <w:shd w:val="clear" w:color="auto" w:fill="FFFF99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213460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213460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27C3AA5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7AD09AC5" w14:textId="012E5545" w:rsidR="00F94783" w:rsidRPr="008454D4" w:rsidRDefault="00F94783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7A3A82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2 zakázky na služby</w:t>
      </w:r>
      <w:r w:rsidRPr="007A3A82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– </w:t>
      </w:r>
      <w:r w:rsidR="005A237A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zpracování projektových dokumentací zahrnující rekonstrukce objektů v minimální celkové finanční hodnotě 300 tis. Kč bez DPH za zpracování PD. 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141C45A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  <w:r w:rsidR="008943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60F26FF6" w:rsidR="008B5AF7" w:rsidRPr="009E5FB0" w:rsidRDefault="009E5FB0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7F7004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zpracování projektových dokumentací zahrnující rekonstrukce objektů v minimální celkové finanční hodnotě 300 tis. Kč bez DPH za zpracování PD.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0EE7AF" w14:textId="4803E598" w:rsidR="0079013A" w:rsidRDefault="009D79F2" w:rsidP="00E8723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lastRenderedPageBreak/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4058CF00" w14:textId="77777777" w:rsidR="00193FB6" w:rsidRDefault="00193FB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44B0B6B4" w14:textId="2A8E82ED" w:rsidR="009D79F2" w:rsidRDefault="009D7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54B42C" w14:textId="52BD569D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E40FE" w14:textId="6C31970C" w:rsidR="0092453B" w:rsidRDefault="0092453B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4"/>
        <w:gridCol w:w="2793"/>
      </w:tblGrid>
      <w:tr w:rsidR="00FE60C1" w:rsidRPr="002162FD" w14:paraId="638103CD" w14:textId="77777777" w:rsidTr="008D0DA2">
        <w:trPr>
          <w:trHeight w:val="493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0D3C56" w14:textId="77777777" w:rsidR="00FE60C1" w:rsidRPr="002162FD" w:rsidRDefault="00FE60C1" w:rsidP="008D0DA2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Položka</w:t>
            </w:r>
          </w:p>
        </w:tc>
        <w:tc>
          <w:tcPr>
            <w:tcW w:w="2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084BD" w14:textId="77777777" w:rsidR="00FE60C1" w:rsidRPr="002162FD" w:rsidRDefault="00FE60C1" w:rsidP="008D0DA2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FE60C1" w:rsidRPr="006D1484" w14:paraId="036AE072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677BB1B4" w14:textId="6C0040CA" w:rsidR="00FE60C1" w:rsidRPr="002162FD" w:rsidRDefault="00FE60C1" w:rsidP="008D0DA2">
            <w:pPr>
              <w:rPr>
                <w:rFonts w:ascii="Arial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Dílo v rozsahu uvedeném v čl. II. odst. </w:t>
            </w:r>
            <w:r w:rsidR="007E63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 písm. a)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F5D2541" w14:textId="77777777" w:rsidR="00FE60C1" w:rsidRPr="006D1484" w:rsidRDefault="00FE60C1" w:rsidP="008D0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C1" w:rsidRPr="006D1484" w14:paraId="0C4BB998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363120E0" w14:textId="60C27DA4" w:rsidR="00FE60C1" w:rsidRPr="002162FD" w:rsidRDefault="00FE60C1" w:rsidP="008D0D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Dílo v rozsahu uvedeném v čl. II. odst. </w:t>
            </w:r>
            <w:r w:rsidR="00474D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 písm. b)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15C6F257" w14:textId="77777777" w:rsidR="00FE60C1" w:rsidRPr="006D1484" w:rsidRDefault="00FE60C1" w:rsidP="008D0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C1" w:rsidRPr="006D1484" w14:paraId="64A0F5FB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1BA25B" w14:textId="5AF4351B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Autorský dozor, čl. II. odst. </w:t>
            </w:r>
            <w:r w:rsidR="006B0CB3">
              <w:rPr>
                <w:rFonts w:ascii="Arial" w:eastAsia="Times New Roman" w:hAnsi="Arial" w:cs="Arial"/>
                <w:lang w:val="cs-CZ" w:eastAsia="cs-CZ"/>
              </w:rPr>
              <w:t>3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, písm. </w:t>
            </w:r>
            <w:r w:rsidR="00E34A59">
              <w:rPr>
                <w:rFonts w:ascii="Arial" w:eastAsia="Times New Roman" w:hAnsi="Arial" w:cs="Arial"/>
                <w:lang w:val="cs-CZ" w:eastAsia="cs-CZ"/>
              </w:rPr>
              <w:t>d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>) smlouvy</w:t>
            </w:r>
          </w:p>
          <w:p w14:paraId="4F30685B" w14:textId="77777777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>(min. 5 % z celkové nabídkové ceny)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F204919" w14:textId="77777777" w:rsidR="00FE60C1" w:rsidRPr="006D1484" w:rsidRDefault="00FE60C1" w:rsidP="008D0DA2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FE60C1" w:rsidRPr="006D1484" w14:paraId="08543524" w14:textId="77777777" w:rsidTr="008D0DA2">
        <w:trPr>
          <w:trHeight w:val="397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99D57" w14:textId="77777777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1E5CF73" w14:textId="77777777" w:rsidR="00FE60C1" w:rsidRPr="006D1484" w:rsidRDefault="00FE60C1" w:rsidP="008D0DA2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</w:tbl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lastRenderedPageBreak/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564E5A7D" w14:textId="79416F31" w:rsidR="006921C0" w:rsidRPr="00D07417" w:rsidRDefault="00C60D55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sectPr w:rsidR="006921C0" w:rsidRPr="00D07417" w:rsidSect="0038304F">
      <w:footerReference w:type="default" r:id="rId10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EF68" w14:textId="77777777" w:rsidR="00C83708" w:rsidRDefault="00C83708">
      <w:pPr>
        <w:spacing w:after="0" w:line="240" w:lineRule="auto"/>
      </w:pPr>
      <w:r>
        <w:separator/>
      </w:r>
    </w:p>
  </w:endnote>
  <w:endnote w:type="continuationSeparator" w:id="0">
    <w:p w14:paraId="3799BB5E" w14:textId="77777777" w:rsidR="00C83708" w:rsidRDefault="00C8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543A" w14:textId="77777777" w:rsidR="00C83708" w:rsidRDefault="00C83708">
      <w:pPr>
        <w:spacing w:after="0" w:line="240" w:lineRule="auto"/>
      </w:pPr>
      <w:r>
        <w:separator/>
      </w:r>
    </w:p>
  </w:footnote>
  <w:footnote w:type="continuationSeparator" w:id="0">
    <w:p w14:paraId="4EBC3D1B" w14:textId="77777777" w:rsidR="00C83708" w:rsidRDefault="00C83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3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5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4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75F7"/>
    <w:rsid w:val="000468AF"/>
    <w:rsid w:val="00087032"/>
    <w:rsid w:val="000955AC"/>
    <w:rsid w:val="000A65E1"/>
    <w:rsid w:val="000B1968"/>
    <w:rsid w:val="000D227E"/>
    <w:rsid w:val="00106ABF"/>
    <w:rsid w:val="00114573"/>
    <w:rsid w:val="00120F28"/>
    <w:rsid w:val="0014548B"/>
    <w:rsid w:val="00160133"/>
    <w:rsid w:val="00193FB6"/>
    <w:rsid w:val="001A5AEC"/>
    <w:rsid w:val="001A7F10"/>
    <w:rsid w:val="001C2891"/>
    <w:rsid w:val="001C6EE6"/>
    <w:rsid w:val="001D74DF"/>
    <w:rsid w:val="001E5338"/>
    <w:rsid w:val="001F22A5"/>
    <w:rsid w:val="001F26BF"/>
    <w:rsid w:val="00213460"/>
    <w:rsid w:val="002266D1"/>
    <w:rsid w:val="00226C0E"/>
    <w:rsid w:val="002372E6"/>
    <w:rsid w:val="00240A73"/>
    <w:rsid w:val="00255A44"/>
    <w:rsid w:val="0026304F"/>
    <w:rsid w:val="00265F34"/>
    <w:rsid w:val="00296C3F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800FD"/>
    <w:rsid w:val="0038304F"/>
    <w:rsid w:val="00385624"/>
    <w:rsid w:val="0038631B"/>
    <w:rsid w:val="00396F41"/>
    <w:rsid w:val="003D7FEC"/>
    <w:rsid w:val="004034D2"/>
    <w:rsid w:val="00412296"/>
    <w:rsid w:val="004151C0"/>
    <w:rsid w:val="0042414E"/>
    <w:rsid w:val="00435BC4"/>
    <w:rsid w:val="00454DB0"/>
    <w:rsid w:val="00474D63"/>
    <w:rsid w:val="00486E83"/>
    <w:rsid w:val="004A1643"/>
    <w:rsid w:val="004C6E3F"/>
    <w:rsid w:val="004C72E6"/>
    <w:rsid w:val="004D0EAA"/>
    <w:rsid w:val="004D7034"/>
    <w:rsid w:val="004E0F6B"/>
    <w:rsid w:val="004E40A8"/>
    <w:rsid w:val="004F317B"/>
    <w:rsid w:val="005067B3"/>
    <w:rsid w:val="005168ED"/>
    <w:rsid w:val="00537B5B"/>
    <w:rsid w:val="00551581"/>
    <w:rsid w:val="00591EA8"/>
    <w:rsid w:val="00593738"/>
    <w:rsid w:val="005A237A"/>
    <w:rsid w:val="005A2AF8"/>
    <w:rsid w:val="005C1A6D"/>
    <w:rsid w:val="005C4D52"/>
    <w:rsid w:val="005C7AF2"/>
    <w:rsid w:val="005D7C16"/>
    <w:rsid w:val="005E0031"/>
    <w:rsid w:val="005E2621"/>
    <w:rsid w:val="005E565D"/>
    <w:rsid w:val="005F5B88"/>
    <w:rsid w:val="0060595B"/>
    <w:rsid w:val="006241D5"/>
    <w:rsid w:val="00652F43"/>
    <w:rsid w:val="006621A5"/>
    <w:rsid w:val="006715E7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66C8"/>
    <w:rsid w:val="00766C24"/>
    <w:rsid w:val="0079013A"/>
    <w:rsid w:val="007A08D8"/>
    <w:rsid w:val="007A7420"/>
    <w:rsid w:val="007C1406"/>
    <w:rsid w:val="007C4D23"/>
    <w:rsid w:val="007E63D7"/>
    <w:rsid w:val="007F7004"/>
    <w:rsid w:val="00803FA9"/>
    <w:rsid w:val="0080602B"/>
    <w:rsid w:val="00813DF7"/>
    <w:rsid w:val="00857AE0"/>
    <w:rsid w:val="0086100D"/>
    <w:rsid w:val="00870BCA"/>
    <w:rsid w:val="00884C51"/>
    <w:rsid w:val="008856B6"/>
    <w:rsid w:val="00894352"/>
    <w:rsid w:val="008B1BBF"/>
    <w:rsid w:val="008B3F7C"/>
    <w:rsid w:val="008B5AF7"/>
    <w:rsid w:val="008B63D5"/>
    <w:rsid w:val="008C2C43"/>
    <w:rsid w:val="008F38D1"/>
    <w:rsid w:val="009022C8"/>
    <w:rsid w:val="00906470"/>
    <w:rsid w:val="00913ADD"/>
    <w:rsid w:val="00915829"/>
    <w:rsid w:val="00920760"/>
    <w:rsid w:val="00922013"/>
    <w:rsid w:val="0092453B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A26F4F"/>
    <w:rsid w:val="00A304C2"/>
    <w:rsid w:val="00A440E0"/>
    <w:rsid w:val="00A463CE"/>
    <w:rsid w:val="00A5326E"/>
    <w:rsid w:val="00A5479F"/>
    <w:rsid w:val="00A5604B"/>
    <w:rsid w:val="00A62B5E"/>
    <w:rsid w:val="00A678B6"/>
    <w:rsid w:val="00A760D2"/>
    <w:rsid w:val="00A8567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514C9"/>
    <w:rsid w:val="00B559E0"/>
    <w:rsid w:val="00B971AC"/>
    <w:rsid w:val="00BA456C"/>
    <w:rsid w:val="00BF6D7B"/>
    <w:rsid w:val="00C06885"/>
    <w:rsid w:val="00C41F2D"/>
    <w:rsid w:val="00C50C30"/>
    <w:rsid w:val="00C53299"/>
    <w:rsid w:val="00C57389"/>
    <w:rsid w:val="00C60D55"/>
    <w:rsid w:val="00C7041B"/>
    <w:rsid w:val="00C80741"/>
    <w:rsid w:val="00C83708"/>
    <w:rsid w:val="00C94378"/>
    <w:rsid w:val="00CA05B6"/>
    <w:rsid w:val="00CA6A18"/>
    <w:rsid w:val="00CC030E"/>
    <w:rsid w:val="00CC283B"/>
    <w:rsid w:val="00CC2C00"/>
    <w:rsid w:val="00CC4A02"/>
    <w:rsid w:val="00CD5C79"/>
    <w:rsid w:val="00D07417"/>
    <w:rsid w:val="00D13DA8"/>
    <w:rsid w:val="00D2685D"/>
    <w:rsid w:val="00D27BF0"/>
    <w:rsid w:val="00D54076"/>
    <w:rsid w:val="00D7000D"/>
    <w:rsid w:val="00D73373"/>
    <w:rsid w:val="00D86E03"/>
    <w:rsid w:val="00D929C4"/>
    <w:rsid w:val="00D956FF"/>
    <w:rsid w:val="00DB2D59"/>
    <w:rsid w:val="00DB356C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162"/>
    <w:rsid w:val="00E34A59"/>
    <w:rsid w:val="00E34DEF"/>
    <w:rsid w:val="00E3713B"/>
    <w:rsid w:val="00E430CE"/>
    <w:rsid w:val="00E54F22"/>
    <w:rsid w:val="00E60A4B"/>
    <w:rsid w:val="00E61F60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678B"/>
    <w:rsid w:val="00EE3EBF"/>
    <w:rsid w:val="00EE60D6"/>
    <w:rsid w:val="00EF2C7F"/>
    <w:rsid w:val="00F03245"/>
    <w:rsid w:val="00F159F2"/>
    <w:rsid w:val="00F30626"/>
    <w:rsid w:val="00F452A0"/>
    <w:rsid w:val="00F47DB9"/>
    <w:rsid w:val="00F64554"/>
    <w:rsid w:val="00F83BC9"/>
    <w:rsid w:val="00F93222"/>
    <w:rsid w:val="00F94783"/>
    <w:rsid w:val="00FA556E"/>
    <w:rsid w:val="00FB13E8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809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Máša Josef</cp:lastModifiedBy>
  <cp:revision>28</cp:revision>
  <cp:lastPrinted>2021-12-09T09:53:00Z</cp:lastPrinted>
  <dcterms:created xsi:type="dcterms:W3CDTF">2025-08-06T08:48:00Z</dcterms:created>
  <dcterms:modified xsi:type="dcterms:W3CDTF">2025-09-15T07:08:00Z</dcterms:modified>
</cp:coreProperties>
</file>