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2A552AD1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362CDB">
        <w:rPr>
          <w:rFonts w:ascii="Arial" w:eastAsia="Arial" w:hAnsi="Arial" w:cs="Arial"/>
          <w:sz w:val="20"/>
          <w:szCs w:val="20"/>
        </w:rPr>
        <w:t>„</w:t>
      </w:r>
      <w:r w:rsidR="00862D8B">
        <w:rPr>
          <w:rFonts w:ascii="Arial" w:eastAsia="Arial" w:hAnsi="Arial" w:cs="Arial"/>
          <w:sz w:val="20"/>
          <w:szCs w:val="20"/>
        </w:rPr>
        <w:t>Rozšíření sítě veřejného osvětlení – Děčín XXI-Horní Oldřichov, ul. Jižní cesta“</w:t>
      </w:r>
    </w:p>
    <w:p w14:paraId="346C070A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/stavební práce/služby/dodávky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66FB84E4" w:rsidR="00652F43" w:rsidRPr="00862D8B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862D8B" w:rsidRPr="00862D8B">
          <w:rPr>
            <w:rStyle w:val="Hypertextovodkaz"/>
            <w:rFonts w:ascii="Arial" w:hAnsi="Arial" w:cs="Arial"/>
            <w:sz w:val="20"/>
            <w:szCs w:val="20"/>
          </w:rPr>
          <w:t>https://zakazky.mmdecin.cz/vz00010042</w:t>
        </w:r>
      </w:hyperlink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A07645" w14:textId="77777777" w:rsidR="00B5494B" w:rsidRDefault="00B5494B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47FCB850" w14:textId="77777777" w:rsidR="00B5494B" w:rsidRDefault="00B5494B" w:rsidP="00B5494B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77777777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30AF0172" w14:textId="77777777">
        <w:tc>
          <w:tcPr>
            <w:tcW w:w="4390" w:type="dxa"/>
          </w:tcPr>
          <w:p w14:paraId="51670A89" w14:textId="458BC914" w:rsidR="00652F43" w:rsidRDefault="00D27BF0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790C1CB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60B63E05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A761FCE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3861FF6" w14:textId="77777777">
        <w:tc>
          <w:tcPr>
            <w:tcW w:w="4390" w:type="dxa"/>
          </w:tcPr>
          <w:p w14:paraId="44D74390" w14:textId="77777777" w:rsidR="00652F43" w:rsidRDefault="00652F43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18" w:space="0" w:color="000000"/>
            </w:tcBorders>
            <w:shd w:val="clear" w:color="auto" w:fill="FFFF00"/>
          </w:tcPr>
          <w:p w14:paraId="1147BA4A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07C26D9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F32959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3DB55503" w14:textId="12D8DDB7" w:rsid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 w:rsidR="008D6516" w:rsidRPr="008D6516">
        <w:rPr>
          <w:rFonts w:ascii="Arial" w:eastAsia="Arial" w:hAnsi="Arial" w:cs="Arial"/>
          <w:sz w:val="20"/>
          <w:szCs w:val="20"/>
        </w:rPr>
        <w:t>splňuje všechny kvalifikační předpoklady v rozsahu odpovídající předmětu veřejné zakázky</w:t>
      </w:r>
      <w:r w:rsidR="008D6516">
        <w:rPr>
          <w:rFonts w:ascii="Arial" w:eastAsia="Arial" w:hAnsi="Arial" w:cs="Arial"/>
          <w:sz w:val="20"/>
          <w:szCs w:val="20"/>
        </w:rPr>
        <w:t>.</w:t>
      </w:r>
      <w:r w:rsidRPr="008D6516">
        <w:rPr>
          <w:rFonts w:ascii="Arial" w:eastAsia="Arial" w:hAnsi="Arial" w:cs="Arial"/>
          <w:sz w:val="20"/>
          <w:szCs w:val="20"/>
        </w:rPr>
        <w:t xml:space="preserve"> </w:t>
      </w:r>
    </w:p>
    <w:p w14:paraId="7E0FA449" w14:textId="66C564B5" w:rsidR="00652F43" w:rsidRPr="008D6516" w:rsidRDefault="00D27BF0" w:rsidP="008D65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8D6516">
        <w:rPr>
          <w:rFonts w:ascii="Arial" w:eastAsia="Arial" w:hAnsi="Arial" w:cs="Arial"/>
          <w:sz w:val="20"/>
          <w:szCs w:val="20"/>
        </w:rPr>
        <w:lastRenderedPageBreak/>
        <w:t>Zadavatel si vyhrazuje právo v případě pochybností vyžadovat osvědčení vydané objednatelem, případně kontaktovat přímo objednatele pro potvrzení účastníkem uváděných údajů.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FECC675" w14:textId="77777777" w:rsidR="000004CA" w:rsidRPr="009C0CD6" w:rsidRDefault="000004CA" w:rsidP="000004C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9C0CD6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9C0CD6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711A" w14:textId="77777777" w:rsidR="00FE5F26" w:rsidRDefault="00FE5F26">
      <w:pPr>
        <w:spacing w:after="0" w:line="240" w:lineRule="auto"/>
      </w:pPr>
      <w:r>
        <w:separator/>
      </w:r>
    </w:p>
  </w:endnote>
  <w:endnote w:type="continuationSeparator" w:id="0">
    <w:p w14:paraId="6D562288" w14:textId="77777777" w:rsidR="00FE5F26" w:rsidRDefault="00FE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E8B4" w14:textId="77777777" w:rsidR="00FE5F26" w:rsidRDefault="00FE5F26">
      <w:pPr>
        <w:spacing w:after="0" w:line="240" w:lineRule="auto"/>
      </w:pPr>
      <w:r>
        <w:separator/>
      </w:r>
    </w:p>
  </w:footnote>
  <w:footnote w:type="continuationSeparator" w:id="0">
    <w:p w14:paraId="4369B738" w14:textId="77777777" w:rsidR="00FE5F26" w:rsidRDefault="00FE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004CA"/>
    <w:rsid w:val="000517C2"/>
    <w:rsid w:val="000B1CCA"/>
    <w:rsid w:val="002266D1"/>
    <w:rsid w:val="00362CDB"/>
    <w:rsid w:val="005D52C9"/>
    <w:rsid w:val="00625567"/>
    <w:rsid w:val="00652F43"/>
    <w:rsid w:val="00756B18"/>
    <w:rsid w:val="00804C9B"/>
    <w:rsid w:val="00844134"/>
    <w:rsid w:val="00862D8B"/>
    <w:rsid w:val="008A50B0"/>
    <w:rsid w:val="008D6516"/>
    <w:rsid w:val="008E35F0"/>
    <w:rsid w:val="009A7E16"/>
    <w:rsid w:val="009C0CD6"/>
    <w:rsid w:val="009E10B5"/>
    <w:rsid w:val="00A856B2"/>
    <w:rsid w:val="00B22ABE"/>
    <w:rsid w:val="00B5494B"/>
    <w:rsid w:val="00BE047C"/>
    <w:rsid w:val="00C92EAD"/>
    <w:rsid w:val="00CE7CC3"/>
    <w:rsid w:val="00D27BF0"/>
    <w:rsid w:val="00D52791"/>
    <w:rsid w:val="00DB356C"/>
    <w:rsid w:val="00E21C57"/>
    <w:rsid w:val="00FA0A8A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Kuruczová Renata</cp:lastModifiedBy>
  <cp:revision>12</cp:revision>
  <dcterms:created xsi:type="dcterms:W3CDTF">2025-02-07T07:38:00Z</dcterms:created>
  <dcterms:modified xsi:type="dcterms:W3CDTF">2025-09-19T10:38:00Z</dcterms:modified>
</cp:coreProperties>
</file>