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47E7B78D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</w:t>
            </w:r>
            <w:r w:rsidR="00F62ACE">
              <w:rPr>
                <w:rFonts w:asciiTheme="minorHAnsi" w:eastAsia="Arial" w:hAnsiTheme="minorHAnsi" w:cstheme="minorHAnsi"/>
              </w:rPr>
              <w:t>plně do tiskáren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368A0" w:rsidRPr="00E26C02" w14:paraId="41B8B893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0BEBB0A7" w14:textId="77D95ED4" w:rsidR="00D368A0" w:rsidRPr="00E26C02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Identifikace </w:t>
            </w:r>
            <w:proofErr w:type="spellStart"/>
            <w:r>
              <w:rPr>
                <w:rFonts w:asciiTheme="minorHAnsi" w:eastAsia="Arial" w:hAnsiTheme="minorHAnsi" w:cstheme="minorHAnsi"/>
              </w:rPr>
              <w:t>minitendru</w:t>
            </w:r>
            <w:proofErr w:type="spellEnd"/>
            <w:r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6BE4C078" w14:textId="18E2349B" w:rsidR="00D368A0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proofErr w:type="gramStart"/>
            <w:r>
              <w:rPr>
                <w:rFonts w:asciiTheme="minorHAnsi" w:eastAsia="Arial" w:hAnsiTheme="minorHAnsi" w:cstheme="minorHAnsi"/>
              </w:rPr>
              <w:t>2025 – 01</w:t>
            </w:r>
            <w:proofErr w:type="gramEnd"/>
            <w:r>
              <w:rPr>
                <w:rFonts w:asciiTheme="minorHAnsi" w:eastAsia="Arial" w:hAnsiTheme="minorHAnsi" w:cstheme="minorHAnsi"/>
              </w:rPr>
              <w:t xml:space="preserve"> – Náplně do tiskáren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1C4D24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968A5DF" w:rsidR="00CF6E1C" w:rsidRPr="00E26C02" w:rsidRDefault="00CF6E1C" w:rsidP="00CF6E1C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8F0B09">
                <w:rPr>
                  <w:rStyle w:val="Hypertextovodkaz"/>
                  <w:rFonts w:asciiTheme="minorHAnsi" w:hAnsiTheme="minorHAnsi" w:cstheme="minorHAnsi"/>
                </w:rPr>
                <w:t>https://zakazky.mmdecin.cz/dns00000006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1788067E" w:rsidR="004B540B" w:rsidRPr="00964F08" w:rsidRDefault="00655860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655860">
              <w:rPr>
                <w:rFonts w:asciiTheme="minorHAnsi" w:hAnsiTheme="minorHAnsi" w:cstheme="minorHAnsi"/>
              </w:rPr>
              <w:t>P25V00000634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65CE549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s místem plnění veřejné zakázky</w:t>
      </w:r>
      <w:r w:rsidR="005607F3">
        <w:rPr>
          <w:rFonts w:eastAsia="Arial"/>
          <w:color w:val="000000"/>
        </w:rPr>
        <w:t xml:space="preserve"> lhůtou pro dodání zboží</w:t>
      </w:r>
      <w:r w:rsidRPr="00573464">
        <w:rPr>
          <w:rFonts w:eastAsia="Arial"/>
          <w:color w:val="000000"/>
        </w:rPr>
        <w:t>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BE7" w14:textId="77777777" w:rsidR="003A4834" w:rsidRDefault="003A4834">
      <w:pPr>
        <w:spacing w:after="0" w:line="240" w:lineRule="auto"/>
      </w:pPr>
      <w:r>
        <w:separator/>
      </w:r>
    </w:p>
  </w:endnote>
  <w:endnote w:type="continuationSeparator" w:id="0">
    <w:p w14:paraId="089E0D84" w14:textId="77777777" w:rsidR="003A4834" w:rsidRDefault="003A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0D5" w14:textId="77777777" w:rsidR="003A4834" w:rsidRDefault="003A4834">
      <w:pPr>
        <w:spacing w:after="0" w:line="240" w:lineRule="auto"/>
      </w:pPr>
      <w:r>
        <w:separator/>
      </w:r>
    </w:p>
  </w:footnote>
  <w:footnote w:type="continuationSeparator" w:id="0">
    <w:p w14:paraId="51906BDF" w14:textId="77777777" w:rsidR="003A4834" w:rsidRDefault="003A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CFC" w14:textId="006D9A49" w:rsidR="000F644D" w:rsidRDefault="000F644D" w:rsidP="000F644D">
    <w:pPr>
      <w:pStyle w:val="Zhlav"/>
    </w:pPr>
    <w:r>
      <w:ptab w:relativeTo="margin" w:alignment="center" w:leader="none"/>
    </w:r>
    <w:r>
      <w:ptab w:relativeTo="margin" w:alignment="right" w:leader="none"/>
    </w: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F644D"/>
    <w:rsid w:val="0010036A"/>
    <w:rsid w:val="00142EC6"/>
    <w:rsid w:val="0016672C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D4486"/>
    <w:rsid w:val="00401D7C"/>
    <w:rsid w:val="0042159C"/>
    <w:rsid w:val="0044259D"/>
    <w:rsid w:val="00481062"/>
    <w:rsid w:val="004B540B"/>
    <w:rsid w:val="005607F3"/>
    <w:rsid w:val="00573464"/>
    <w:rsid w:val="00591572"/>
    <w:rsid w:val="00591EA6"/>
    <w:rsid w:val="005C1A6D"/>
    <w:rsid w:val="005C7AF2"/>
    <w:rsid w:val="00620FE0"/>
    <w:rsid w:val="006241D5"/>
    <w:rsid w:val="00627CA5"/>
    <w:rsid w:val="00641436"/>
    <w:rsid w:val="00652F43"/>
    <w:rsid w:val="00655860"/>
    <w:rsid w:val="006921C0"/>
    <w:rsid w:val="006A3331"/>
    <w:rsid w:val="006C76B3"/>
    <w:rsid w:val="006F1F5C"/>
    <w:rsid w:val="00727367"/>
    <w:rsid w:val="007663BB"/>
    <w:rsid w:val="007A05E5"/>
    <w:rsid w:val="007A2DF3"/>
    <w:rsid w:val="008031C0"/>
    <w:rsid w:val="008662D7"/>
    <w:rsid w:val="00870BCA"/>
    <w:rsid w:val="008E4141"/>
    <w:rsid w:val="00904BF0"/>
    <w:rsid w:val="00915A0A"/>
    <w:rsid w:val="009329CF"/>
    <w:rsid w:val="00970BA8"/>
    <w:rsid w:val="009A7C0F"/>
    <w:rsid w:val="009B0B9C"/>
    <w:rsid w:val="009E64D9"/>
    <w:rsid w:val="00A304C2"/>
    <w:rsid w:val="00AC2B9B"/>
    <w:rsid w:val="00AF3159"/>
    <w:rsid w:val="00B052AC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CF6E1C"/>
    <w:rsid w:val="00D03672"/>
    <w:rsid w:val="00D27BF0"/>
    <w:rsid w:val="00D368A0"/>
    <w:rsid w:val="00D525DE"/>
    <w:rsid w:val="00D82CAA"/>
    <w:rsid w:val="00D958CF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36A93"/>
    <w:rsid w:val="00F62ACE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8</cp:revision>
  <cp:lastPrinted>2023-07-03T08:21:00Z</cp:lastPrinted>
  <dcterms:created xsi:type="dcterms:W3CDTF">2025-09-11T11:28:00Z</dcterms:created>
  <dcterms:modified xsi:type="dcterms:W3CDTF">2025-10-09T11:36:00Z</dcterms:modified>
</cp:coreProperties>
</file>