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7BE2C70A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F414D3" w:rsidRPr="002A0210">
        <w:rPr>
          <w:rFonts w:ascii="Arial" w:hAnsi="Arial" w:cs="Arial"/>
          <w:b/>
          <w:bCs/>
          <w:sz w:val="20"/>
          <w:szCs w:val="20"/>
        </w:rPr>
        <w:t>„</w:t>
      </w:r>
      <w:r w:rsidR="00F414D3">
        <w:rPr>
          <w:rFonts w:ascii="Arial" w:hAnsi="Arial" w:cs="Arial"/>
          <w:b/>
          <w:bCs/>
          <w:sz w:val="20"/>
          <w:szCs w:val="20"/>
        </w:rPr>
        <w:t xml:space="preserve">Sociální a komunitní zázemí a krizového bydlení v objektu </w:t>
      </w:r>
      <w:proofErr w:type="spellStart"/>
      <w:r w:rsidR="00F414D3">
        <w:rPr>
          <w:rFonts w:ascii="Arial" w:hAnsi="Arial" w:cs="Arial"/>
          <w:b/>
          <w:bCs/>
          <w:sz w:val="20"/>
          <w:szCs w:val="20"/>
        </w:rPr>
        <w:t>Krásnostudenecká</w:t>
      </w:r>
      <w:proofErr w:type="spellEnd"/>
      <w:r w:rsidR="00F414D3">
        <w:rPr>
          <w:rFonts w:ascii="Arial" w:hAnsi="Arial" w:cs="Arial"/>
          <w:b/>
          <w:bCs/>
          <w:sz w:val="20"/>
          <w:szCs w:val="20"/>
        </w:rPr>
        <w:t xml:space="preserve"> 1362/</w:t>
      </w:r>
      <w:proofErr w:type="gramStart"/>
      <w:r w:rsidR="00F414D3">
        <w:rPr>
          <w:rFonts w:ascii="Arial" w:hAnsi="Arial" w:cs="Arial"/>
          <w:b/>
          <w:bCs/>
          <w:sz w:val="20"/>
          <w:szCs w:val="20"/>
        </w:rPr>
        <w:t>104a</w:t>
      </w:r>
      <w:proofErr w:type="gramEnd"/>
      <w:r w:rsidR="00F414D3" w:rsidRPr="002A0210">
        <w:rPr>
          <w:rFonts w:ascii="Arial" w:hAnsi="Arial" w:cs="Arial"/>
          <w:b/>
          <w:bCs/>
          <w:sz w:val="20"/>
          <w:szCs w:val="20"/>
        </w:rPr>
        <w:t>“</w:t>
      </w:r>
    </w:p>
    <w:p w14:paraId="5C19CF2D" w14:textId="674DD062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F414D3">
        <w:rPr>
          <w:rFonts w:ascii="Arial" w:eastAsia="Arial" w:hAnsi="Arial" w:cs="Arial"/>
          <w:sz w:val="20"/>
          <w:szCs w:val="20"/>
        </w:rPr>
        <w:t>služby</w:t>
      </w:r>
    </w:p>
    <w:p w14:paraId="652DD30D" w14:textId="24D29B23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F414D3" w:rsidRPr="00065E11">
        <w:rPr>
          <w:rFonts w:ascii="Arial" w:eastAsia="Arial" w:hAnsi="Arial" w:cs="Arial"/>
          <w:sz w:val="20"/>
          <w:szCs w:val="20"/>
        </w:rPr>
        <w:t>veřejná zakázka malého rozsahu</w:t>
      </w:r>
    </w:p>
    <w:p w14:paraId="2A069488" w14:textId="51C7F067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F414D3" w:rsidRPr="00F13453">
          <w:rPr>
            <w:rFonts w:ascii="Tahoma" w:hAnsi="Tahoma" w:cs="Tahoma"/>
            <w:sz w:val="19"/>
            <w:szCs w:val="19"/>
            <w:u w:val="single"/>
            <w:shd w:val="clear" w:color="auto" w:fill="D6E9F5"/>
          </w:rPr>
          <w:t>https://zakazky.mmdecin.cz/vz00010422</w:t>
        </w:r>
      </w:hyperlink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0ED85410" w:rsidR="00652F43" w:rsidRPr="000F1633" w:rsidRDefault="007C47B7" w:rsidP="000F163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F1633">
        <w:rPr>
          <w:rFonts w:ascii="Arial" w:eastAsia="Arial" w:hAnsi="Arial" w:cs="Arial"/>
          <w:b/>
          <w:sz w:val="20"/>
          <w:szCs w:val="20"/>
        </w:rPr>
        <w:t xml:space="preserve">Účastník v nabídce předloží tento vyplněný formulář, který nahrazuje čestné </w:t>
      </w:r>
      <w:r w:rsidR="000F1633" w:rsidRPr="000F1633">
        <w:rPr>
          <w:rFonts w:ascii="Arial" w:eastAsia="Arial" w:hAnsi="Arial" w:cs="Arial"/>
          <w:b/>
          <w:sz w:val="20"/>
          <w:szCs w:val="20"/>
        </w:rPr>
        <w:t>p</w:t>
      </w:r>
      <w:r w:rsidRPr="000F1633">
        <w:rPr>
          <w:rFonts w:ascii="Arial" w:eastAsia="Arial" w:hAnsi="Arial" w:cs="Arial"/>
          <w:b/>
          <w:sz w:val="20"/>
          <w:szCs w:val="20"/>
        </w:rPr>
        <w:t>rohlášení</w:t>
      </w:r>
      <w:r w:rsidR="00D27BF0" w:rsidRPr="000F1633">
        <w:rPr>
          <w:rFonts w:ascii="Arial" w:eastAsia="Arial" w:hAnsi="Arial" w:cs="Arial"/>
          <w:b/>
          <w:sz w:val="20"/>
          <w:szCs w:val="20"/>
        </w:rPr>
        <w:t>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217206">
      <w:pPr>
        <w:pStyle w:val="Odstavecseseznamem"/>
        <w:numPr>
          <w:ilvl w:val="0"/>
          <w:numId w:val="16"/>
        </w:numPr>
        <w:spacing w:before="60" w:after="6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217206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3C9A052" w14:textId="77777777" w:rsidR="00F414D3" w:rsidRPr="00065E11" w:rsidRDefault="00F414D3" w:rsidP="00F414D3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591849D9" w14:textId="77777777" w:rsidR="00F414D3" w:rsidRPr="00142EC6" w:rsidRDefault="00F414D3" w:rsidP="00F414D3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ZZVZ </w:t>
      </w:r>
      <w:r>
        <w:rPr>
          <w:rFonts w:ascii="Arial" w:eastAsia="Arial" w:hAnsi="Arial" w:cs="Arial"/>
          <w:sz w:val="20"/>
          <w:szCs w:val="20"/>
        </w:rPr>
        <w:t>–</w:t>
      </w:r>
      <w:r w:rsidRPr="00142EC6">
        <w:rPr>
          <w:rFonts w:ascii="Arial" w:eastAsia="Arial" w:hAnsi="Arial" w:cs="Arial"/>
          <w:sz w:val="20"/>
          <w:szCs w:val="20"/>
        </w:rPr>
        <w:t xml:space="preserve"> výpis z OR, pokud je v něm zapsán,</w:t>
      </w:r>
    </w:p>
    <w:p w14:paraId="13D5DE6E" w14:textId="77777777" w:rsidR="00F414D3" w:rsidRPr="00A22E17" w:rsidRDefault="00F414D3" w:rsidP="00F414D3">
      <w:pPr>
        <w:pStyle w:val="Odstavecseseznamem"/>
        <w:numPr>
          <w:ilvl w:val="0"/>
          <w:numId w:val="17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živnostenské oprávnění v oboru </w:t>
      </w:r>
      <w:r>
        <w:rPr>
          <w:b/>
          <w:bCs/>
        </w:rPr>
        <w:t>p</w:t>
      </w:r>
      <w:r w:rsidRPr="009F2BC9">
        <w:rPr>
          <w:b/>
          <w:bCs/>
        </w:rPr>
        <w:t>rojektová činnost ve výstavbě</w:t>
      </w:r>
      <w:r w:rsidRPr="00A22E17">
        <w:rPr>
          <w:rFonts w:ascii="Arial" w:eastAsia="Arial" w:hAnsi="Arial" w:cs="Arial"/>
          <w:sz w:val="20"/>
          <w:szCs w:val="20"/>
        </w:rPr>
        <w:t>.</w:t>
      </w:r>
    </w:p>
    <w:p w14:paraId="0EC2D836" w14:textId="77777777" w:rsidR="00F414D3" w:rsidRPr="00A22E17" w:rsidRDefault="00F414D3" w:rsidP="00F414D3">
      <w:pPr>
        <w:pStyle w:val="Odstavecseseznamem"/>
        <w:numPr>
          <w:ilvl w:val="0"/>
          <w:numId w:val="17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ZZVZ </w:t>
      </w:r>
      <w:r>
        <w:rPr>
          <w:rFonts w:ascii="Arial" w:eastAsia="Arial" w:hAnsi="Arial" w:cs="Arial"/>
          <w:sz w:val="20"/>
          <w:szCs w:val="20"/>
        </w:rPr>
        <w:t>–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 xml:space="preserve">autorizace v oboru </w:t>
      </w:r>
      <w:r w:rsidRPr="0064545D">
        <w:rPr>
          <w:rFonts w:ascii="Arial" w:eastAsia="Arial" w:hAnsi="Arial" w:cs="Arial"/>
          <w:b/>
          <w:bCs/>
          <w:sz w:val="20"/>
          <w:szCs w:val="20"/>
        </w:rPr>
        <w:t>pozemní stavby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>– minimálně technik</w:t>
      </w:r>
    </w:p>
    <w:p w14:paraId="63ED5693" w14:textId="77777777" w:rsidR="00F414D3" w:rsidRPr="00945D59" w:rsidRDefault="00F414D3" w:rsidP="00F414D3">
      <w:pPr>
        <w:pStyle w:val="Odstavecseseznamem"/>
        <w:numPr>
          <w:ilvl w:val="0"/>
          <w:numId w:val="17"/>
        </w:num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1</w:t>
      </w:r>
      <w:r w:rsidRPr="00945D59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zakázk</w:t>
      </w: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a </w:t>
      </w:r>
      <w:r w:rsidRPr="00945D59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– zpracování projektových dokumentací </w:t>
      </w:r>
      <w:r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obdobného charakteru</w:t>
      </w:r>
    </w:p>
    <w:p w14:paraId="19C5F81D" w14:textId="6AB49149" w:rsidR="000D3AC7" w:rsidRPr="000D3AC7" w:rsidRDefault="000D3AC7" w:rsidP="00217206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kern w:val="3"/>
          <w:lang w:eastAsia="ar-SA"/>
        </w:rPr>
      </w:pP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13F86432" w14:textId="77777777" w:rsidR="00AC16CA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15B0D071" w14:textId="1B89D3E2" w:rsidR="007C47B7" w:rsidRPr="004D7034" w:rsidRDefault="007C47B7" w:rsidP="007C47B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B10FF0">
        <w:rPr>
          <w:rFonts w:ascii="Arial" w:eastAsia="Arial" w:hAnsi="Arial" w:cs="Arial"/>
          <w:sz w:val="20"/>
          <w:szCs w:val="20"/>
        </w:rPr>
        <w:t xml:space="preserve">Základní hodnotící kritérium </w:t>
      </w:r>
      <w:r>
        <w:rPr>
          <w:rFonts w:ascii="Arial" w:eastAsia="Arial" w:hAnsi="Arial" w:cs="Arial"/>
          <w:sz w:val="20"/>
          <w:szCs w:val="20"/>
        </w:rPr>
        <w:t>nejnižší nabídková cena v Kč bez DPH</w:t>
      </w:r>
    </w:p>
    <w:p w14:paraId="1F54B42C" w14:textId="52BD569D" w:rsidR="00AC16CA" w:rsidRDefault="00AC16CA" w:rsidP="007C47B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D6F0B3" w14:textId="19965507" w:rsidR="00652F43" w:rsidRPr="00D07417" w:rsidRDefault="00D27BF0" w:rsidP="002172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2172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lastRenderedPageBreak/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501805A2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>ormě a struktuře návrhu smlouvy</w:t>
      </w:r>
      <w:r w:rsidR="007C47B7">
        <w:rPr>
          <w:rFonts w:ascii="Arial" w:hAnsi="Arial" w:cs="Arial"/>
          <w:color w:val="000000"/>
          <w:sz w:val="20"/>
          <w:szCs w:val="20"/>
        </w:rPr>
        <w:t xml:space="preserve"> o dílo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 a jsou pro účastníka závazné. </w:t>
      </w:r>
    </w:p>
    <w:p w14:paraId="564E5A7D" w14:textId="79416F31" w:rsidR="006921C0" w:rsidRDefault="00C60D55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DA002F8" w14:textId="77777777" w:rsidR="00217206" w:rsidRDefault="00217206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4002EA" w14:textId="77777777" w:rsidR="00217206" w:rsidRPr="00B10FF0" w:rsidRDefault="00217206" w:rsidP="00217206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B10FF0">
        <w:rPr>
          <w:rFonts w:ascii="Arial" w:eastAsia="Arial" w:hAnsi="Arial" w:cs="Arial"/>
          <w:sz w:val="20"/>
          <w:szCs w:val="20"/>
        </w:rPr>
        <w:t>Osoba oprávněná jednat za dodavatele: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…………………………………</w:t>
      </w:r>
    </w:p>
    <w:p w14:paraId="22BC8FF2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B10FF0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6EAEE96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6DCFC8C1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57559344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08FF7AFD" w14:textId="77777777" w:rsidR="00217206" w:rsidRPr="00B10FF0" w:rsidRDefault="00217206" w:rsidP="00217206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Podpis: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</w:t>
      </w:r>
      <w:proofErr w:type="gramStart"/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…….</w:t>
      </w:r>
      <w:proofErr w:type="gramEnd"/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.</w:t>
      </w:r>
    </w:p>
    <w:p w14:paraId="35492C4A" w14:textId="77777777" w:rsidR="00217206" w:rsidRPr="00D07417" w:rsidRDefault="00217206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217206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2F6" w14:textId="77777777" w:rsidR="00D72B90" w:rsidRDefault="00D72B90">
      <w:pPr>
        <w:spacing w:after="0" w:line="240" w:lineRule="auto"/>
      </w:pPr>
      <w:r>
        <w:separator/>
      </w:r>
    </w:p>
  </w:endnote>
  <w:endnote w:type="continuationSeparator" w:id="0">
    <w:p w14:paraId="36440D6A" w14:textId="77777777" w:rsidR="00D72B90" w:rsidRDefault="00D7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E9F6" w14:textId="77777777" w:rsidR="00D72B90" w:rsidRDefault="00D72B90">
      <w:pPr>
        <w:spacing w:after="0" w:line="240" w:lineRule="auto"/>
      </w:pPr>
      <w:r>
        <w:separator/>
      </w:r>
    </w:p>
  </w:footnote>
  <w:footnote w:type="continuationSeparator" w:id="0">
    <w:p w14:paraId="7129E349" w14:textId="77777777" w:rsidR="00D72B90" w:rsidRDefault="00D7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F576640C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3496E7A"/>
    <w:multiLevelType w:val="hybridMultilevel"/>
    <w:tmpl w:val="107831B4"/>
    <w:lvl w:ilvl="0" w:tplc="E68C4470"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2C0D37C1"/>
    <w:multiLevelType w:val="hybridMultilevel"/>
    <w:tmpl w:val="37700E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D8B"/>
    <w:multiLevelType w:val="hybridMultilevel"/>
    <w:tmpl w:val="F78093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8"/>
  </w:num>
  <w:num w:numId="4" w16cid:durableId="2039694805">
    <w:abstractNumId w:val="25"/>
  </w:num>
  <w:num w:numId="5" w16cid:durableId="537160895">
    <w:abstractNumId w:val="9"/>
  </w:num>
  <w:num w:numId="6" w16cid:durableId="225999122">
    <w:abstractNumId w:val="11"/>
  </w:num>
  <w:num w:numId="7" w16cid:durableId="1516113225">
    <w:abstractNumId w:val="3"/>
  </w:num>
  <w:num w:numId="8" w16cid:durableId="830292281">
    <w:abstractNumId w:val="21"/>
  </w:num>
  <w:num w:numId="9" w16cid:durableId="2060275447">
    <w:abstractNumId w:val="13"/>
  </w:num>
  <w:num w:numId="10" w16cid:durableId="860050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2"/>
  </w:num>
  <w:num w:numId="13" w16cid:durableId="327177130">
    <w:abstractNumId w:val="15"/>
  </w:num>
  <w:num w:numId="14" w16cid:durableId="1850371233">
    <w:abstractNumId w:val="20"/>
  </w:num>
  <w:num w:numId="15" w16cid:durableId="895050197">
    <w:abstractNumId w:val="27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6"/>
  </w:num>
  <w:num w:numId="20" w16cid:durableId="534849366">
    <w:abstractNumId w:val="0"/>
  </w:num>
  <w:num w:numId="21" w16cid:durableId="572548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7"/>
  </w:num>
  <w:num w:numId="23" w16cid:durableId="1552421214">
    <w:abstractNumId w:val="16"/>
  </w:num>
  <w:num w:numId="24" w16cid:durableId="1725325339">
    <w:abstractNumId w:val="19"/>
  </w:num>
  <w:num w:numId="25" w16cid:durableId="1675761447">
    <w:abstractNumId w:val="23"/>
  </w:num>
  <w:num w:numId="26" w16cid:durableId="329716674">
    <w:abstractNumId w:val="6"/>
  </w:num>
  <w:num w:numId="27" w16cid:durableId="383872421">
    <w:abstractNumId w:val="12"/>
  </w:num>
  <w:num w:numId="28" w16cid:durableId="359090673">
    <w:abstractNumId w:val="28"/>
  </w:num>
  <w:num w:numId="29" w16cid:durableId="730272064">
    <w:abstractNumId w:val="10"/>
  </w:num>
  <w:num w:numId="30" w16cid:durableId="613900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75F7"/>
    <w:rsid w:val="000468AF"/>
    <w:rsid w:val="00087032"/>
    <w:rsid w:val="000955AC"/>
    <w:rsid w:val="000A0B6E"/>
    <w:rsid w:val="000A65E1"/>
    <w:rsid w:val="000B1968"/>
    <w:rsid w:val="000D227E"/>
    <w:rsid w:val="000D3AC7"/>
    <w:rsid w:val="000D53FF"/>
    <w:rsid w:val="000F1633"/>
    <w:rsid w:val="00105C57"/>
    <w:rsid w:val="00106ABF"/>
    <w:rsid w:val="00114573"/>
    <w:rsid w:val="0011775E"/>
    <w:rsid w:val="00120F28"/>
    <w:rsid w:val="0014548B"/>
    <w:rsid w:val="00160133"/>
    <w:rsid w:val="00193FB6"/>
    <w:rsid w:val="001A5AEC"/>
    <w:rsid w:val="001A7F10"/>
    <w:rsid w:val="001C2891"/>
    <w:rsid w:val="001C6EE6"/>
    <w:rsid w:val="001D74DF"/>
    <w:rsid w:val="001E1AEC"/>
    <w:rsid w:val="001E5338"/>
    <w:rsid w:val="001F22A5"/>
    <w:rsid w:val="001F26BF"/>
    <w:rsid w:val="0020266D"/>
    <w:rsid w:val="00213460"/>
    <w:rsid w:val="00217206"/>
    <w:rsid w:val="002266D1"/>
    <w:rsid w:val="00226C0E"/>
    <w:rsid w:val="002372E6"/>
    <w:rsid w:val="00240A73"/>
    <w:rsid w:val="0024328B"/>
    <w:rsid w:val="00255A44"/>
    <w:rsid w:val="0026304F"/>
    <w:rsid w:val="00265F34"/>
    <w:rsid w:val="00275A83"/>
    <w:rsid w:val="00296C3F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800FD"/>
    <w:rsid w:val="0038304F"/>
    <w:rsid w:val="00385624"/>
    <w:rsid w:val="0038631B"/>
    <w:rsid w:val="00386D63"/>
    <w:rsid w:val="00396F41"/>
    <w:rsid w:val="003A1FF6"/>
    <w:rsid w:val="003D7FEC"/>
    <w:rsid w:val="004034D2"/>
    <w:rsid w:val="00412296"/>
    <w:rsid w:val="004151C0"/>
    <w:rsid w:val="0042414E"/>
    <w:rsid w:val="00435BC4"/>
    <w:rsid w:val="0045435F"/>
    <w:rsid w:val="00454DB0"/>
    <w:rsid w:val="00474D63"/>
    <w:rsid w:val="00486E83"/>
    <w:rsid w:val="0049470D"/>
    <w:rsid w:val="004A1643"/>
    <w:rsid w:val="004C6E3F"/>
    <w:rsid w:val="004C72E6"/>
    <w:rsid w:val="004D0EAA"/>
    <w:rsid w:val="004D7034"/>
    <w:rsid w:val="004E0F6B"/>
    <w:rsid w:val="004E40A8"/>
    <w:rsid w:val="004F317B"/>
    <w:rsid w:val="005067B3"/>
    <w:rsid w:val="005168ED"/>
    <w:rsid w:val="00537B5B"/>
    <w:rsid w:val="00551581"/>
    <w:rsid w:val="00563161"/>
    <w:rsid w:val="005647EC"/>
    <w:rsid w:val="00572922"/>
    <w:rsid w:val="00591EA8"/>
    <w:rsid w:val="00593738"/>
    <w:rsid w:val="005A237A"/>
    <w:rsid w:val="005A2AF8"/>
    <w:rsid w:val="005C1A6D"/>
    <w:rsid w:val="005C4D52"/>
    <w:rsid w:val="005C74C5"/>
    <w:rsid w:val="005C7AF2"/>
    <w:rsid w:val="005D7C16"/>
    <w:rsid w:val="005E0031"/>
    <w:rsid w:val="005E2621"/>
    <w:rsid w:val="005E565D"/>
    <w:rsid w:val="005F5B88"/>
    <w:rsid w:val="0060595B"/>
    <w:rsid w:val="00616E50"/>
    <w:rsid w:val="006241D5"/>
    <w:rsid w:val="00630F61"/>
    <w:rsid w:val="00652F43"/>
    <w:rsid w:val="006621A5"/>
    <w:rsid w:val="006715E7"/>
    <w:rsid w:val="006825CC"/>
    <w:rsid w:val="00684F27"/>
    <w:rsid w:val="00691B76"/>
    <w:rsid w:val="006921C0"/>
    <w:rsid w:val="006A3D96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66C8"/>
    <w:rsid w:val="00766C24"/>
    <w:rsid w:val="007742E2"/>
    <w:rsid w:val="0079013A"/>
    <w:rsid w:val="007A08D8"/>
    <w:rsid w:val="007A7420"/>
    <w:rsid w:val="007C1406"/>
    <w:rsid w:val="007C47B7"/>
    <w:rsid w:val="007C4D23"/>
    <w:rsid w:val="007E63D7"/>
    <w:rsid w:val="007F7004"/>
    <w:rsid w:val="00803FA9"/>
    <w:rsid w:val="00805F8A"/>
    <w:rsid w:val="0080602B"/>
    <w:rsid w:val="00813DF7"/>
    <w:rsid w:val="00857AE0"/>
    <w:rsid w:val="0086100D"/>
    <w:rsid w:val="00870BCA"/>
    <w:rsid w:val="00884C51"/>
    <w:rsid w:val="008856B6"/>
    <w:rsid w:val="008869E1"/>
    <w:rsid w:val="00894352"/>
    <w:rsid w:val="008B1BBF"/>
    <w:rsid w:val="008B3F7C"/>
    <w:rsid w:val="008B5AF7"/>
    <w:rsid w:val="008B63D5"/>
    <w:rsid w:val="008C2C43"/>
    <w:rsid w:val="008F38D1"/>
    <w:rsid w:val="009022C8"/>
    <w:rsid w:val="00906470"/>
    <w:rsid w:val="00913ADD"/>
    <w:rsid w:val="00915829"/>
    <w:rsid w:val="00920760"/>
    <w:rsid w:val="00922013"/>
    <w:rsid w:val="0092453B"/>
    <w:rsid w:val="00935FAA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A26F4F"/>
    <w:rsid w:val="00A304C2"/>
    <w:rsid w:val="00A440E0"/>
    <w:rsid w:val="00A463CE"/>
    <w:rsid w:val="00A51AC9"/>
    <w:rsid w:val="00A5326E"/>
    <w:rsid w:val="00A5479F"/>
    <w:rsid w:val="00A5604B"/>
    <w:rsid w:val="00A62B5E"/>
    <w:rsid w:val="00A678B6"/>
    <w:rsid w:val="00A760D2"/>
    <w:rsid w:val="00A8567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514C9"/>
    <w:rsid w:val="00B559E0"/>
    <w:rsid w:val="00B971AC"/>
    <w:rsid w:val="00BA456C"/>
    <w:rsid w:val="00BF6D7B"/>
    <w:rsid w:val="00C0058A"/>
    <w:rsid w:val="00C06885"/>
    <w:rsid w:val="00C41F2D"/>
    <w:rsid w:val="00C50C30"/>
    <w:rsid w:val="00C53299"/>
    <w:rsid w:val="00C5352A"/>
    <w:rsid w:val="00C57389"/>
    <w:rsid w:val="00C60D55"/>
    <w:rsid w:val="00C61EA0"/>
    <w:rsid w:val="00C7041B"/>
    <w:rsid w:val="00C80741"/>
    <w:rsid w:val="00C83708"/>
    <w:rsid w:val="00C84022"/>
    <w:rsid w:val="00C94378"/>
    <w:rsid w:val="00CA05B6"/>
    <w:rsid w:val="00CA6A18"/>
    <w:rsid w:val="00CC030E"/>
    <w:rsid w:val="00CC283B"/>
    <w:rsid w:val="00CC2C00"/>
    <w:rsid w:val="00CC4A02"/>
    <w:rsid w:val="00CD5C79"/>
    <w:rsid w:val="00D07417"/>
    <w:rsid w:val="00D13DA8"/>
    <w:rsid w:val="00D24484"/>
    <w:rsid w:val="00D2685D"/>
    <w:rsid w:val="00D27BF0"/>
    <w:rsid w:val="00D54076"/>
    <w:rsid w:val="00D570D2"/>
    <w:rsid w:val="00D7000D"/>
    <w:rsid w:val="00D72B90"/>
    <w:rsid w:val="00D73373"/>
    <w:rsid w:val="00D77713"/>
    <w:rsid w:val="00D86E03"/>
    <w:rsid w:val="00D929C4"/>
    <w:rsid w:val="00D956FF"/>
    <w:rsid w:val="00DB2D59"/>
    <w:rsid w:val="00DB356C"/>
    <w:rsid w:val="00DD0B3B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162"/>
    <w:rsid w:val="00E34A59"/>
    <w:rsid w:val="00E34DEF"/>
    <w:rsid w:val="00E3713B"/>
    <w:rsid w:val="00E430CE"/>
    <w:rsid w:val="00E54F22"/>
    <w:rsid w:val="00E60A4B"/>
    <w:rsid w:val="00E61F60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5612"/>
    <w:rsid w:val="00ED678B"/>
    <w:rsid w:val="00EE3EBF"/>
    <w:rsid w:val="00EE60D6"/>
    <w:rsid w:val="00EF2C7F"/>
    <w:rsid w:val="00F03245"/>
    <w:rsid w:val="00F159F2"/>
    <w:rsid w:val="00F30626"/>
    <w:rsid w:val="00F414D3"/>
    <w:rsid w:val="00F452A0"/>
    <w:rsid w:val="00F47DB9"/>
    <w:rsid w:val="00F64554"/>
    <w:rsid w:val="00F83BC9"/>
    <w:rsid w:val="00F93222"/>
    <w:rsid w:val="00F94783"/>
    <w:rsid w:val="00FA556E"/>
    <w:rsid w:val="00FB13E8"/>
    <w:rsid w:val="00FC0B75"/>
    <w:rsid w:val="00FE60C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42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Kotková Ladislava</cp:lastModifiedBy>
  <cp:revision>2</cp:revision>
  <cp:lastPrinted>2026-01-20T09:00:00Z</cp:lastPrinted>
  <dcterms:created xsi:type="dcterms:W3CDTF">2026-01-20T09:03:00Z</dcterms:created>
  <dcterms:modified xsi:type="dcterms:W3CDTF">2026-01-20T09:03:00Z</dcterms:modified>
</cp:coreProperties>
</file>